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top"/>
        <w:tblW w:w="9747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291"/>
        <w:gridCol w:w="3645"/>
        <w:gridCol w:w="4811"/>
      </w:tblGrid>
      <w:tr w:rsidR="00924A2E">
        <w:trPr>
          <w:trHeight w:val="362"/>
        </w:trPr>
        <w:tc>
          <w:tcPr>
            <w:tcW w:w="1291" w:type="dxa"/>
            <w:vAlign w:val="center"/>
          </w:tcPr>
          <w:p w:rsidR="00924A2E" w:rsidRDefault="00E6154F">
            <w:pPr>
              <w:keepNext/>
              <w:jc w:val="both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533400" cy="771525"/>
                  <wp:effectExtent l="0" t="0" r="0" b="0"/>
                  <wp:docPr id="1" name="Picture 1" descr="grb_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924A2E" w:rsidRDefault="00E6154F">
            <w:pPr>
              <w:keepNext/>
              <w:jc w:val="both"/>
            </w:pPr>
            <w:r>
              <w:t>РЕПУБЛИКА СРБИЈА</w:t>
            </w:r>
          </w:p>
          <w:p w:rsidR="00924A2E" w:rsidRDefault="00E6154F">
            <w:pPr>
              <w:keepNext/>
            </w:pPr>
            <w:r>
              <w:t>ОПШТИНА КОСЈЕРИЋ</w:t>
            </w:r>
          </w:p>
          <w:p w:rsidR="00924A2E" w:rsidRDefault="00E6154F">
            <w:pPr>
              <w:keepNext/>
              <w:rPr>
                <w:lang w:val="sr-Cyrl-RS"/>
              </w:rPr>
            </w:pPr>
            <w:r>
              <w:rPr>
                <w:lang w:val="sr-Cyrl-RS"/>
              </w:rPr>
              <w:t>Општинска управа Косјерић</w:t>
            </w:r>
          </w:p>
        </w:tc>
        <w:tc>
          <w:tcPr>
            <w:tcW w:w="4811" w:type="dxa"/>
          </w:tcPr>
          <w:p w:rsidR="00924A2E" w:rsidRDefault="00924A2E">
            <w:pPr>
              <w:keepNext/>
              <w:jc w:val="right"/>
            </w:pPr>
          </w:p>
          <w:p w:rsidR="00924A2E" w:rsidRDefault="00E6154F">
            <w:pPr>
              <w:keepNext/>
              <w:jc w:val="right"/>
            </w:pPr>
            <w:proofErr w:type="spellStart"/>
            <w:r>
              <w:t>Олге</w:t>
            </w:r>
            <w:proofErr w:type="spellEnd"/>
            <w:r>
              <w:t xml:space="preserve"> </w:t>
            </w:r>
            <w:proofErr w:type="spellStart"/>
            <w:r>
              <w:t>Грбић</w:t>
            </w:r>
            <w:proofErr w:type="spellEnd"/>
            <w:r>
              <w:t xml:space="preserve"> 10</w:t>
            </w:r>
          </w:p>
          <w:p w:rsidR="00924A2E" w:rsidRDefault="00E6154F">
            <w:pPr>
              <w:keepNext/>
              <w:jc w:val="right"/>
            </w:pPr>
            <w:r>
              <w:t xml:space="preserve">31260 </w:t>
            </w:r>
            <w:proofErr w:type="spellStart"/>
            <w:r>
              <w:t>Косјерић</w:t>
            </w:r>
            <w:proofErr w:type="spellEnd"/>
          </w:p>
          <w:p w:rsidR="00924A2E" w:rsidRDefault="00E6154F">
            <w:pPr>
              <w:keepNext/>
              <w:jc w:val="right"/>
            </w:pPr>
            <w:r>
              <w:sym w:font="Wingdings" w:char="F028"/>
            </w:r>
            <w:r>
              <w:t xml:space="preserve"> +381 (0) 31 78 14 60   </w:t>
            </w:r>
          </w:p>
          <w:p w:rsidR="00924A2E" w:rsidRDefault="00E6154F">
            <w:pPr>
              <w:keepNext/>
              <w:jc w:val="right"/>
              <w:rPr>
                <w:lang w:val="sr-Latn-RS"/>
              </w:rPr>
            </w:pPr>
            <w:r>
              <w:t xml:space="preserve">e-mail: </w:t>
            </w:r>
            <w:proofErr w:type="spellStart"/>
            <w:r>
              <w:t>ekologija</w:t>
            </w:r>
            <w:proofErr w:type="spellEnd"/>
            <w:r>
              <w:rPr>
                <w:lang w:val="sr-Cyrl-RS"/>
              </w:rPr>
              <w:t>@</w:t>
            </w:r>
            <w:proofErr w:type="spellStart"/>
            <w:r>
              <w:t>kosjeric</w:t>
            </w:r>
            <w:proofErr w:type="spellEnd"/>
            <w:r>
              <w:t>.</w:t>
            </w:r>
            <w:r>
              <w:rPr>
                <w:lang w:val="sr-Latn-RS"/>
              </w:rPr>
              <w:t>rs</w:t>
            </w:r>
          </w:p>
        </w:tc>
      </w:tr>
    </w:tbl>
    <w:p w:rsidR="00924A2E" w:rsidRDefault="00E6154F">
      <w:pPr>
        <w:jc w:val="both"/>
        <w:rPr>
          <w:bCs/>
        </w:rPr>
      </w:pPr>
      <w:r>
        <w:rPr>
          <w:bCs/>
          <w:lang w:val="sr-Cyrl-RS"/>
        </w:rPr>
        <w:t>Број: 501-33</w:t>
      </w:r>
      <w:r>
        <w:rPr>
          <w:bCs/>
        </w:rPr>
        <w:t>/20</w:t>
      </w:r>
      <w:r>
        <w:rPr>
          <w:bCs/>
          <w:lang w:val="sr-Cyrl-RS"/>
        </w:rPr>
        <w:t xml:space="preserve">25   </w:t>
      </w:r>
    </w:p>
    <w:p w:rsidR="00924A2E" w:rsidRDefault="00E6154F">
      <w:pPr>
        <w:rPr>
          <w:bCs/>
        </w:rPr>
      </w:pPr>
      <w:r>
        <w:rPr>
          <w:bCs/>
          <w:lang w:val="sr-Cyrl-RS"/>
        </w:rPr>
        <w:t>03.07.2025</w:t>
      </w:r>
      <w:r>
        <w:rPr>
          <w:bCs/>
        </w:rPr>
        <w:t xml:space="preserve">. </w:t>
      </w:r>
      <w:proofErr w:type="spellStart"/>
      <w:proofErr w:type="gramStart"/>
      <w:r>
        <w:rPr>
          <w:bCs/>
        </w:rPr>
        <w:t>године</w:t>
      </w:r>
      <w:proofErr w:type="spellEnd"/>
      <w:proofErr w:type="gramEnd"/>
      <w:r>
        <w:rPr>
          <w:bCs/>
        </w:rPr>
        <w:br/>
        <w:t>К О С Ј Е Р И Ћ</w:t>
      </w:r>
    </w:p>
    <w:p w:rsidR="00924A2E" w:rsidRDefault="00924A2E">
      <w:pPr>
        <w:rPr>
          <w:lang w:val="sr-Cyrl-CS"/>
        </w:rPr>
      </w:pPr>
    </w:p>
    <w:p w:rsidR="00924A2E" w:rsidRDefault="00924A2E">
      <w:pPr>
        <w:rPr>
          <w:lang w:val="sr-Cyrl-CS"/>
        </w:rPr>
      </w:pPr>
    </w:p>
    <w:p w:rsidR="00924A2E" w:rsidRDefault="00E6154F">
      <w:pPr>
        <w:jc w:val="both"/>
      </w:pPr>
      <w:r>
        <w:tab/>
      </w:r>
      <w:proofErr w:type="spellStart"/>
      <w:r>
        <w:t>Општинск</w:t>
      </w:r>
      <w:proofErr w:type="spellEnd"/>
      <w:r>
        <w:rPr>
          <w:lang w:val="en-US"/>
        </w:rPr>
        <w:t>a</w:t>
      </w:r>
      <w:r>
        <w:t xml:space="preserve"> </w:t>
      </w:r>
      <w:proofErr w:type="spellStart"/>
      <w:r>
        <w:t>управ</w:t>
      </w:r>
      <w:proofErr w:type="spellEnd"/>
      <w:r>
        <w:rPr>
          <w:lang w:val="en-US"/>
        </w:rPr>
        <w:t>a</w:t>
      </w:r>
      <w:r>
        <w:t xml:space="preserve"> </w:t>
      </w:r>
      <w:proofErr w:type="spellStart"/>
      <w:r>
        <w:t>Косјерић</w:t>
      </w:r>
      <w:proofErr w:type="spellEnd"/>
      <w:r>
        <w:t xml:space="preserve">, </w:t>
      </w:r>
      <w:proofErr w:type="spellStart"/>
      <w:r>
        <w:t>поступајући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r>
        <w:rPr>
          <w:lang w:val="sr-Cyrl-RS"/>
        </w:rPr>
        <w:t>„</w:t>
      </w:r>
      <w:r>
        <w:t>WOOD PRODUCTION CO</w:t>
      </w:r>
      <w:r>
        <w:rPr>
          <w:lang w:val="sr-Cyrl-RS"/>
        </w:rPr>
        <w:t>“ ДОО ПАРАЋИН Шумадијска 138</w:t>
      </w:r>
      <w:r>
        <w:t xml:space="preserve">,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r>
        <w:rPr>
          <w:lang w:val="sr-Cyrl-RS"/>
        </w:rPr>
        <w:t xml:space="preserve">пројекта </w:t>
      </w:r>
      <w:proofErr w:type="spellStart"/>
      <w:r>
        <w:t>изградње</w:t>
      </w:r>
      <w:proofErr w:type="spellEnd"/>
      <w:r>
        <w:t xml:space="preserve"> </w:t>
      </w:r>
      <w:r>
        <w:rPr>
          <w:lang w:val="sr-Cyrl-RS"/>
        </w:rPr>
        <w:t>два нова</w:t>
      </w:r>
      <w:r>
        <w:t xml:space="preserve"> </w:t>
      </w:r>
      <w:r>
        <w:rPr>
          <w:lang w:val="sr-Cyrl-RS"/>
        </w:rPr>
        <w:t>објекта за производњу пелета и доградње једног постојећег објекта за складиштење дрвне грађе</w:t>
      </w:r>
      <w:r>
        <w:rPr>
          <w:lang w:val="sr-Latn-C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noProof/>
          <w:lang w:val="ru-RU"/>
        </w:rPr>
        <w:t>1</w:t>
      </w:r>
      <w:r>
        <w:rPr>
          <w:noProof/>
        </w:rPr>
        <w:t>4</w:t>
      </w:r>
      <w:r>
        <w:rPr>
          <w:noProof/>
          <w:lang w:val="ru-RU"/>
        </w:rPr>
        <w:t>. став 4. и 6.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rPr>
          <w:lang w:val="sr-Cyrl-RS"/>
        </w:rPr>
        <w:t xml:space="preserve"> 94/2024</w:t>
      </w:r>
      <w:r>
        <w:t xml:space="preserve">) и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минималним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издало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октобра</w:t>
      </w:r>
      <w:proofErr w:type="spellEnd"/>
      <w:r>
        <w:t xml:space="preserve"> 2010.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136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r>
        <w:rPr>
          <w:lang w:val="sr-Cyrl-RS"/>
        </w:rPr>
        <w:t>(</w:t>
      </w:r>
      <w:r>
        <w:rPr>
          <w:rFonts w:eastAsia="Arial Unicode MS"/>
        </w:rPr>
        <w:t>„</w:t>
      </w:r>
      <w:proofErr w:type="spellStart"/>
      <w:r>
        <w:rPr>
          <w:rFonts w:eastAsia="Arial Unicode MS"/>
        </w:rPr>
        <w:t>Службени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гласник</w:t>
      </w:r>
      <w:proofErr w:type="spellEnd"/>
      <w:r>
        <w:rPr>
          <w:rFonts w:eastAsia="Arial Unicode MS"/>
        </w:rPr>
        <w:t xml:space="preserve"> РС“, </w:t>
      </w:r>
      <w:proofErr w:type="spellStart"/>
      <w:r>
        <w:rPr>
          <w:rFonts w:eastAsia="Arial Unicode MS"/>
        </w:rPr>
        <w:t>број</w:t>
      </w:r>
      <w:proofErr w:type="spellEnd"/>
      <w:r>
        <w:rPr>
          <w:rFonts w:eastAsia="Arial Unicode MS"/>
        </w:rPr>
        <w:t xml:space="preserve"> </w:t>
      </w:r>
      <w:r>
        <w:rPr>
          <w:rFonts w:eastAsia="Arial Unicode MS"/>
          <w:lang w:val="sr-Cyrl-RS"/>
        </w:rPr>
        <w:t>18/2016</w:t>
      </w:r>
      <w:r>
        <w:rPr>
          <w:rFonts w:eastAsia="Arial Unicode MS"/>
        </w:rPr>
        <w:t>, 95/18</w:t>
      </w:r>
      <w:r>
        <w:rPr>
          <w:rFonts w:eastAsia="Arial Unicode MS"/>
          <w:lang w:val="sr-Cyrl-RS"/>
        </w:rPr>
        <w:t>-</w:t>
      </w:r>
      <w:r>
        <w:rPr>
          <w:rFonts w:eastAsia="Arial Unicode MS"/>
        </w:rPr>
        <w:t xml:space="preserve"> a</w:t>
      </w:r>
      <w:r>
        <w:rPr>
          <w:rFonts w:eastAsia="Arial Unicode MS"/>
          <w:lang w:val="sr-Cyrl-RS"/>
        </w:rPr>
        <w:t>утентично тумачење и 2/23-одлука УС),</w:t>
      </w:r>
      <w:r>
        <w:t xml:space="preserve"> </w:t>
      </w:r>
      <w:proofErr w:type="spellStart"/>
      <w:r>
        <w:t>доноси</w:t>
      </w:r>
      <w:proofErr w:type="spellEnd"/>
    </w:p>
    <w:p w:rsidR="00924A2E" w:rsidRDefault="00924A2E">
      <w:pPr>
        <w:jc w:val="both"/>
      </w:pPr>
    </w:p>
    <w:p w:rsidR="00924A2E" w:rsidRDefault="00E6154F">
      <w:pPr>
        <w:jc w:val="center"/>
        <w:rPr>
          <w:b/>
        </w:rPr>
      </w:pPr>
      <w:r>
        <w:rPr>
          <w:b/>
        </w:rPr>
        <w:t>РЕШЕЊЕ</w:t>
      </w:r>
    </w:p>
    <w:p w:rsidR="00924A2E" w:rsidRDefault="00924A2E">
      <w:pPr>
        <w:jc w:val="both"/>
      </w:pPr>
    </w:p>
    <w:p w:rsidR="00924A2E" w:rsidRDefault="00E6154F">
      <w:pPr>
        <w:ind w:firstLine="720"/>
        <w:jc w:val="both"/>
      </w:pPr>
      <w:r>
        <w:rPr>
          <w:b/>
          <w:bCs/>
        </w:rPr>
        <w:t>I</w:t>
      </w:r>
      <w:r>
        <w:rPr>
          <w:bCs/>
          <w:lang w:val="sr-Cyrl-RS"/>
        </w:rPr>
        <w:t xml:space="preserve"> </w:t>
      </w:r>
      <w:proofErr w:type="spellStart"/>
      <w:r>
        <w:rPr>
          <w:b/>
          <w:bCs/>
        </w:rPr>
        <w:t>Издаје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сагласност носиоцу пројекта </w:t>
      </w:r>
      <w:r>
        <w:rPr>
          <w:lang w:val="sr-Cyrl-RS"/>
        </w:rPr>
        <w:t>„</w:t>
      </w:r>
      <w:r>
        <w:t>WOOD PRODUCTION CO</w:t>
      </w:r>
      <w:proofErr w:type="gramStart"/>
      <w:r>
        <w:rPr>
          <w:lang w:val="sr-Cyrl-RS"/>
        </w:rPr>
        <w:t>“ ДОО</w:t>
      </w:r>
      <w:proofErr w:type="gramEnd"/>
      <w:r>
        <w:rPr>
          <w:lang w:val="sr-Cyrl-RS"/>
        </w:rPr>
        <w:t xml:space="preserve"> ПАРАЋИН Шумадијска 138</w:t>
      </w:r>
      <w:r>
        <w:t xml:space="preserve">, </w:t>
      </w:r>
      <w:r>
        <w:rPr>
          <w:lang w:val="sr-Cyrl-RS"/>
        </w:rPr>
        <w:t xml:space="preserve">за </w:t>
      </w:r>
      <w:proofErr w:type="spellStart"/>
      <w:r>
        <w:t>изградњ</w:t>
      </w:r>
      <w:proofErr w:type="spellEnd"/>
      <w:r>
        <w:rPr>
          <w:lang w:val="sr-Cyrl-RS"/>
        </w:rPr>
        <w:t>у два нова</w:t>
      </w:r>
      <w:r>
        <w:t xml:space="preserve"> </w:t>
      </w:r>
      <w:r>
        <w:rPr>
          <w:lang w:val="sr-Cyrl-RS"/>
        </w:rPr>
        <w:t>објекта за производњу пелета и доградњу једног постојећег објекта за складиштење дрвне грађе,</w:t>
      </w:r>
      <w:r>
        <w:rPr>
          <w:lang w:val="sr-Latn-CS"/>
        </w:rPr>
        <w:t xml:space="preserve"> </w:t>
      </w:r>
      <w:r>
        <w:rPr>
          <w:lang w:val="sr-Cyrl-RS"/>
        </w:rPr>
        <w:t>на кат. пар. број 1275/2  КО Брајковићи, општина Косјерић</w:t>
      </w:r>
      <w:r>
        <w:t>.</w:t>
      </w:r>
    </w:p>
    <w:p w:rsidR="00924A2E" w:rsidRDefault="00924A2E">
      <w:pPr>
        <w:jc w:val="both"/>
        <w:rPr>
          <w:lang w:val="sr-Cyrl-RS"/>
        </w:rPr>
      </w:pPr>
    </w:p>
    <w:p w:rsidR="00924A2E" w:rsidRDefault="00E6154F">
      <w:pPr>
        <w:ind w:firstLine="708"/>
        <w:jc w:val="both"/>
        <w:rPr>
          <w:lang w:val="sr-Cyrl-RS"/>
        </w:rPr>
      </w:pPr>
      <w:r>
        <w:rPr>
          <w:b/>
          <w:bCs/>
        </w:rPr>
        <w:t>II</w:t>
      </w:r>
      <w:r>
        <w:rPr>
          <w:bCs/>
          <w:lang w:val="sr-Cyrl-RS"/>
        </w:rPr>
        <w:t xml:space="preserve"> </w:t>
      </w:r>
      <w:proofErr w:type="spellStart"/>
      <w:r>
        <w:rPr>
          <w:b/>
          <w:bCs/>
        </w:rPr>
        <w:t>Обавезе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носиоца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>
        <w:rPr>
          <w:bCs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испоштује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инвестиционо-техничком</w:t>
      </w:r>
      <w:proofErr w:type="spellEnd"/>
      <w:r>
        <w:t xml:space="preserve"> </w:t>
      </w:r>
      <w:proofErr w:type="spellStart"/>
      <w:r>
        <w:t>документаци</w:t>
      </w:r>
      <w:r>
        <w:t>јом</w:t>
      </w:r>
      <w:proofErr w:type="spellEnd"/>
      <w:r>
        <w:t xml:space="preserve">, </w:t>
      </w:r>
      <w:r>
        <w:rPr>
          <w:lang w:val="sr-Cyrl-RS"/>
        </w:rPr>
        <w:t xml:space="preserve">односно да се придржава мера предвиђених у циљу </w:t>
      </w:r>
      <w:r>
        <w:rPr>
          <w:lang w:val="hr-HR"/>
        </w:rPr>
        <w:t xml:space="preserve">спречавања, смањења </w:t>
      </w:r>
      <w:r>
        <w:rPr>
          <w:bCs/>
          <w:lang w:val="hr-HR"/>
        </w:rPr>
        <w:t>и</w:t>
      </w:r>
      <w:proofErr w:type="spellStart"/>
      <w:r>
        <w:rPr>
          <w:bCs/>
        </w:rPr>
        <w:t>ли</w:t>
      </w:r>
      <w:proofErr w:type="spellEnd"/>
      <w:r>
        <w:rPr>
          <w:bCs/>
          <w:lang w:val="hr-HR"/>
        </w:rPr>
        <w:t xml:space="preserve"> отклањања</w:t>
      </w:r>
      <w:r>
        <w:rPr>
          <w:lang w:val="hr-HR"/>
        </w:rPr>
        <w:t xml:space="preserve"> сваког значајног </w:t>
      </w:r>
      <w:proofErr w:type="spellStart"/>
      <w:r>
        <w:t>штетног</w:t>
      </w:r>
      <w:proofErr w:type="spellEnd"/>
      <w:r>
        <w:t xml:space="preserve"> </w:t>
      </w:r>
      <w:r>
        <w:rPr>
          <w:lang w:val="hr-HR"/>
        </w:rPr>
        <w:t>утицаја на животну средину</w:t>
      </w:r>
      <w:r>
        <w:rPr>
          <w:lang w:val="sr-Cyrl-RS"/>
        </w:rPr>
        <w:t>, које су описане у Захтеву за одлучивање о потреби процен утицаја на животну средину и представљају саставни део овог</w:t>
      </w:r>
      <w:r>
        <w:rPr>
          <w:lang w:val="sr-Cyrl-RS"/>
        </w:rPr>
        <w:t xml:space="preserve"> решења. </w:t>
      </w:r>
    </w:p>
    <w:p w:rsidR="00924A2E" w:rsidRDefault="00924A2E">
      <w:pPr>
        <w:ind w:firstLine="708"/>
        <w:jc w:val="both"/>
        <w:rPr>
          <w:lang w:val="sr-Cyrl-RS"/>
        </w:rPr>
      </w:pPr>
    </w:p>
    <w:p w:rsidR="00924A2E" w:rsidRDefault="00E6154F">
      <w:pPr>
        <w:ind w:firstLine="708"/>
        <w:jc w:val="both"/>
        <w:rPr>
          <w:lang w:val="sr-Cyrl-RS"/>
        </w:rPr>
      </w:pPr>
      <w:r>
        <w:rPr>
          <w:b/>
          <w:lang w:val="sr-Latn-RS"/>
        </w:rPr>
        <w:t>III</w:t>
      </w:r>
      <w:r>
        <w:rPr>
          <w:rStyle w:val="st"/>
          <w:b/>
          <w:lang w:val="sr-Latn-RS"/>
        </w:rPr>
        <w:t xml:space="preserve"> </w:t>
      </w:r>
      <w:r>
        <w:rPr>
          <w:b/>
          <w:lang w:val="sr-Cyrl-RS"/>
        </w:rPr>
        <w:t>Обавезе носиоца пројекта</w:t>
      </w:r>
      <w:r>
        <w:rPr>
          <w:lang w:val="sr-Cyrl-RS"/>
        </w:rPr>
        <w:t>:</w:t>
      </w:r>
    </w:p>
    <w:p w:rsidR="00924A2E" w:rsidRDefault="00E6154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lang w:val="sr-Latn-RS" w:eastAsia="sr-Latn-CS"/>
        </w:rPr>
      </w:pPr>
      <w:r>
        <w:rPr>
          <w:rFonts w:ascii="TimesNewRoman" w:hAnsi="TimesNewRoman" w:cs="TimesNewRoman"/>
          <w:lang w:val="sr-Latn-RS" w:eastAsia="sr-Latn-CS"/>
        </w:rPr>
        <w:t>Обезбедити посебан простор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потребне услове и опрему за сакупљање</w:t>
      </w:r>
      <w:r>
        <w:rPr>
          <w:lang w:val="sr-Latn-RS" w:eastAsia="sr-Latn-CS"/>
        </w:rPr>
        <w:t>,</w:t>
      </w:r>
      <w:r>
        <w:rPr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 xml:space="preserve">разврставање и привремено чување различитих отпадних материја </w:t>
      </w:r>
      <w:r>
        <w:rPr>
          <w:lang w:val="sr-Latn-RS" w:eastAsia="sr-Latn-CS"/>
        </w:rPr>
        <w:t>(</w:t>
      </w:r>
      <w:r>
        <w:rPr>
          <w:rFonts w:ascii="TimesNewRoman" w:hAnsi="TimesNewRoman" w:cs="TimesNewRoman"/>
          <w:lang w:val="sr-Latn-RS" w:eastAsia="sr-Latn-CS"/>
        </w:rPr>
        <w:t>комунални и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амбалажни отпад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рециклабилни материјал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остаци од дрвета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засићени филте</w:t>
      </w:r>
      <w:r>
        <w:rPr>
          <w:rFonts w:ascii="TimesNewRoman" w:hAnsi="TimesNewRoman" w:cs="TimesNewRoman"/>
          <w:lang w:val="sr-Latn-RS" w:eastAsia="sr-Latn-CS"/>
        </w:rPr>
        <w:t>ри за пречишћавање отпадног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ваздуха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отпад од чишћења таложника</w:t>
      </w:r>
      <w:r>
        <w:rPr>
          <w:lang w:val="sr-Latn-RS" w:eastAsia="sr-Latn-CS"/>
        </w:rPr>
        <w:t>-</w:t>
      </w:r>
      <w:r>
        <w:rPr>
          <w:rFonts w:ascii="TimesNewRoman" w:hAnsi="TimesNewRoman" w:cs="TimesNewRoman"/>
          <w:lang w:val="sr-Latn-RS" w:eastAsia="sr-Latn-CS"/>
        </w:rPr>
        <w:t>сепаратора масти и уља и др</w:t>
      </w:r>
      <w:r>
        <w:rPr>
          <w:lang w:val="sr-Latn-RS" w:eastAsia="sr-Latn-CS"/>
        </w:rPr>
        <w:t xml:space="preserve">.), </w:t>
      </w:r>
      <w:r>
        <w:rPr>
          <w:rFonts w:ascii="TimesNewRoman" w:hAnsi="TimesNewRoman" w:cs="TimesNewRoman"/>
          <w:lang w:val="sr-Latn-RS" w:eastAsia="sr-Latn-CS"/>
        </w:rPr>
        <w:t>у складу са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законом и другим прописима којима се уређује поступање са отпадом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секундарним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сировинама и евентуалним опасним отпадом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да секундарне сировине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опасан и други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отпад предаје лицу са којим је закључен уговор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а које има одговарајућу дозволу за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 xml:space="preserve">управљање отпадом </w:t>
      </w:r>
      <w:r>
        <w:rPr>
          <w:lang w:val="sr-Latn-RS" w:eastAsia="sr-Latn-CS"/>
        </w:rPr>
        <w:t>(</w:t>
      </w:r>
      <w:r>
        <w:rPr>
          <w:rFonts w:ascii="TimesNewRoman" w:hAnsi="TimesNewRoman" w:cs="TimesNewRoman"/>
          <w:lang w:val="sr-Latn-RS" w:eastAsia="sr-Latn-CS"/>
        </w:rPr>
        <w:t>складиштење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третман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одлагање и сл</w:t>
      </w:r>
      <w:r>
        <w:rPr>
          <w:lang w:val="sr-Latn-RS" w:eastAsia="sr-Latn-CS"/>
        </w:rPr>
        <w:t>.)</w:t>
      </w:r>
    </w:p>
    <w:p w:rsidR="00924A2E" w:rsidRDefault="00E6154F">
      <w:pPr>
        <w:ind w:left="720" w:firstLine="360"/>
        <w:jc w:val="both"/>
        <w:rPr>
          <w:lang w:val="sr-Cyrl-CS"/>
        </w:rPr>
      </w:pPr>
      <w:proofErr w:type="spellStart"/>
      <w:r>
        <w:t>Сав</w:t>
      </w:r>
      <w:proofErr w:type="spellEnd"/>
      <w:r>
        <w:t xml:space="preserve"> </w:t>
      </w:r>
      <w:proofErr w:type="spellStart"/>
      <w:r>
        <w:t>комунални</w:t>
      </w:r>
      <w:proofErr w:type="spellEnd"/>
      <w:r>
        <w:t xml:space="preserve"> </w:t>
      </w:r>
      <w:proofErr w:type="spellStart"/>
      <w:r>
        <w:t>отпад</w:t>
      </w:r>
      <w:proofErr w:type="spellEnd"/>
      <w:r>
        <w:t xml:space="preserve"> </w:t>
      </w:r>
      <w:proofErr w:type="spellStart"/>
      <w:r>
        <w:t>одлагати</w:t>
      </w:r>
      <w:proofErr w:type="spellEnd"/>
      <w:r>
        <w:t xml:space="preserve"> у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посуде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погона</w:t>
      </w:r>
      <w:proofErr w:type="spellEnd"/>
      <w:r>
        <w:t xml:space="preserve">, а </w:t>
      </w:r>
      <w:proofErr w:type="spellStart"/>
      <w:r>
        <w:t>затим</w:t>
      </w:r>
      <w:proofErr w:type="spellEnd"/>
      <w:r>
        <w:t xml:space="preserve"> у </w:t>
      </w:r>
      <w:r>
        <w:rPr>
          <w:lang w:val="sr-Cyrl-CS"/>
        </w:rPr>
        <w:t xml:space="preserve">  </w:t>
      </w:r>
    </w:p>
    <w:p w:rsidR="00924A2E" w:rsidRDefault="00E6154F">
      <w:pPr>
        <w:ind w:left="720" w:firstLine="360"/>
        <w:jc w:val="both"/>
        <w:rPr>
          <w:lang w:val="ru-RU"/>
        </w:rPr>
      </w:pPr>
      <w:proofErr w:type="spellStart"/>
      <w:proofErr w:type="gramStart"/>
      <w:r>
        <w:t>контејнере</w:t>
      </w:r>
      <w:proofErr w:type="spellEnd"/>
      <w:proofErr w:type="gram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КЈП „Елан“ из Косјерића;</w:t>
      </w:r>
    </w:p>
    <w:p w:rsidR="00924A2E" w:rsidRDefault="00E6154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lang w:val="sr-Latn-RS" w:eastAsia="sr-Latn-CS"/>
        </w:rPr>
      </w:pPr>
      <w:r>
        <w:rPr>
          <w:lang w:val="sr-Cyrl-RS"/>
        </w:rPr>
        <w:t>Спроводити опште мере заштите од буке:</w:t>
      </w:r>
    </w:p>
    <w:p w:rsidR="00924A2E" w:rsidRDefault="00E6154F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lang w:val="sr-Latn-RS" w:eastAsia="sr-Latn-CS"/>
        </w:rPr>
      </w:pPr>
      <w:r>
        <w:rPr>
          <w:lang w:val="sr-Cyrl-RS"/>
        </w:rPr>
        <w:t xml:space="preserve">да поштује </w:t>
      </w:r>
      <w:r>
        <w:rPr>
          <w:rFonts w:ascii="TimesNewRoman" w:hAnsi="TimesNewRoman" w:cs="TimesNewRoman"/>
          <w:lang w:val="sr-Latn-RS" w:eastAsia="sr-Latn-CS"/>
        </w:rPr>
        <w:t>Закон о заштити од буке у животн</w:t>
      </w:r>
      <w:r>
        <w:rPr>
          <w:rFonts w:ascii="TimesNewRoman" w:hAnsi="TimesNewRoman" w:cs="TimesNewRoman"/>
          <w:lang w:eastAsia="sr-Latn-CS"/>
        </w:rPr>
        <w:t>о</w:t>
      </w:r>
      <w:r>
        <w:rPr>
          <w:rFonts w:ascii="TimesNewRoman" w:hAnsi="TimesNewRoman" w:cs="TimesNewRoman"/>
          <w:lang w:val="sr-Latn-RS" w:eastAsia="sr-Latn-CS"/>
        </w:rPr>
        <w:t xml:space="preserve">ј средини </w:t>
      </w:r>
      <w:r>
        <w:rPr>
          <w:lang w:val="sr-Latn-RS" w:eastAsia="sr-Latn-CS"/>
        </w:rPr>
        <w:t>(„</w:t>
      </w:r>
      <w:r>
        <w:rPr>
          <w:rFonts w:ascii="TimesNewRoman" w:hAnsi="TimesNewRoman" w:cs="TimesNewRoman"/>
          <w:lang w:val="sr-Latn-RS" w:eastAsia="sr-Latn-CS"/>
        </w:rPr>
        <w:t>Сл</w:t>
      </w:r>
      <w:r>
        <w:rPr>
          <w:rFonts w:ascii="TimesNewRoman" w:hAnsi="TimesNewRoman" w:cs="TimesNewRoman"/>
          <w:lang w:eastAsia="sr-Latn-CS"/>
        </w:rPr>
        <w:t>ужбени гласник</w:t>
      </w:r>
      <w:r>
        <w:rPr>
          <w:lang w:val="sr-Latn-RS"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РС</w:t>
      </w:r>
      <w:r>
        <w:rPr>
          <w:lang w:val="sr-Latn-RS" w:eastAsia="sr-Latn-CS"/>
        </w:rPr>
        <w:t xml:space="preserve">”, </w:t>
      </w:r>
    </w:p>
    <w:p w:rsidR="00924A2E" w:rsidRDefault="00E6154F">
      <w:pPr>
        <w:autoSpaceDE w:val="0"/>
        <w:autoSpaceDN w:val="0"/>
        <w:adjustRightInd w:val="0"/>
        <w:ind w:left="720" w:firstLine="360"/>
        <w:jc w:val="both"/>
        <w:rPr>
          <w:rFonts w:ascii="TimesNewRoman" w:hAnsi="TimesNewRoman" w:cs="TimesNewRoman"/>
          <w:lang w:val="sr-Latn-RS" w:eastAsia="sr-Latn-CS"/>
        </w:rPr>
      </w:pPr>
      <w:r>
        <w:rPr>
          <w:rFonts w:ascii="TimesNewRoman" w:hAnsi="TimesNewRoman" w:cs="TimesNewRoman"/>
          <w:lang w:val="sr-Latn-RS" w:eastAsia="sr-Latn-CS"/>
        </w:rPr>
        <w:t>бр</w:t>
      </w:r>
      <w:proofErr w:type="spellStart"/>
      <w:r>
        <w:rPr>
          <w:rFonts w:ascii="TimesNewRoman" w:hAnsi="TimesNewRoman" w:cs="TimesNewRoman"/>
          <w:lang w:eastAsia="sr-Latn-CS"/>
        </w:rPr>
        <w:t>ој</w:t>
      </w:r>
      <w:proofErr w:type="spellEnd"/>
      <w:r>
        <w:rPr>
          <w:lang w:val="sr-Latn-RS" w:eastAsia="sr-Latn-CS"/>
        </w:rPr>
        <w:t xml:space="preserve"> </w:t>
      </w:r>
      <w:r>
        <w:rPr>
          <w:lang w:val="sr-Cyrl-RS" w:eastAsia="sr-Latn-CS"/>
        </w:rPr>
        <w:t>96/21</w:t>
      </w:r>
      <w:r>
        <w:rPr>
          <w:lang w:val="sr-Latn-RS" w:eastAsia="sr-Latn-CS"/>
        </w:rPr>
        <w:t>),</w:t>
      </w:r>
      <w:r>
        <w:rPr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као и подзаконска акта донета на основу овог Закона</w:t>
      </w:r>
      <w:r>
        <w:rPr>
          <w:rFonts w:ascii="TimesNewRoman" w:hAnsi="TimesNewRoman" w:cs="TimesNewRoman"/>
          <w:lang w:eastAsia="sr-Latn-CS"/>
        </w:rPr>
        <w:t xml:space="preserve"> и</w:t>
      </w:r>
    </w:p>
    <w:p w:rsidR="00924A2E" w:rsidRDefault="00E6154F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rFonts w:ascii="TimesNewRoman" w:hAnsi="TimesNewRoman" w:cs="TimesNewRoman"/>
          <w:lang w:eastAsia="sr-Latn-CS"/>
        </w:rPr>
        <w:t>да п</w:t>
      </w:r>
      <w:r>
        <w:rPr>
          <w:rFonts w:ascii="TimesNewRoman" w:hAnsi="TimesNewRoman" w:cs="TimesNewRoman"/>
          <w:lang w:val="sr-Latn-RS" w:eastAsia="sr-Latn-CS"/>
        </w:rPr>
        <w:t>ројектује и изведе одговарајућу з</w:t>
      </w:r>
      <w:r>
        <w:rPr>
          <w:rFonts w:ascii="TimesNewRoman" w:hAnsi="TimesNewRoman" w:cs="TimesNewRoman"/>
          <w:lang w:val="sr-Latn-RS" w:eastAsia="sr-Latn-CS"/>
        </w:rPr>
        <w:t>вучну заштиту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 xml:space="preserve">којом се обезбеђује да бука </w:t>
      </w:r>
    </w:p>
    <w:p w:rsidR="00924A2E" w:rsidRDefault="00E6154F">
      <w:pPr>
        <w:autoSpaceDE w:val="0"/>
        <w:autoSpaceDN w:val="0"/>
        <w:adjustRightInd w:val="0"/>
        <w:ind w:left="1058"/>
        <w:jc w:val="both"/>
        <w:rPr>
          <w:lang w:val="sr-Cyrl-RS"/>
        </w:rPr>
      </w:pPr>
      <w:r>
        <w:rPr>
          <w:rFonts w:ascii="TimesNewRoman" w:hAnsi="TimesNewRoman" w:cs="TimesNewRoman"/>
          <w:lang w:val="sr-Latn-RS" w:eastAsia="sr-Latn-CS"/>
        </w:rPr>
        <w:t>која се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емитује из техничких и других делова објеката при прописаним условима коришћења и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одржавања уређаја и опреме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односно током обављања планираних активности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не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прекорачује прописане граничне вредности</w:t>
      </w:r>
      <w:r>
        <w:rPr>
          <w:lang w:val="sr-Cyrl-RS"/>
        </w:rPr>
        <w:t xml:space="preserve">; </w:t>
      </w:r>
    </w:p>
    <w:p w:rsidR="00924A2E" w:rsidRDefault="00E6154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lang w:val="sr-Latn-RS" w:eastAsia="sr-Latn-CS"/>
        </w:rPr>
      </w:pPr>
      <w:r>
        <w:rPr>
          <w:rFonts w:ascii="TimesNewRoman" w:hAnsi="TimesNewRoman" w:cs="TimesNewRoman"/>
          <w:lang w:val="sr-Latn-RS" w:eastAsia="sr-Latn-CS"/>
        </w:rPr>
        <w:t xml:space="preserve">Спроводити неопходне мере заштите од могућих удеса </w:t>
      </w:r>
      <w:r>
        <w:rPr>
          <w:lang w:val="sr-Latn-RS" w:eastAsia="sr-Latn-CS"/>
        </w:rPr>
        <w:t>(</w:t>
      </w:r>
      <w:r>
        <w:rPr>
          <w:rFonts w:ascii="TimesNewRoman" w:hAnsi="TimesNewRoman" w:cs="TimesNewRoman"/>
          <w:lang w:val="sr-Latn-RS" w:eastAsia="sr-Latn-CS"/>
        </w:rPr>
        <w:t>пожар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>изливање</w:t>
      </w:r>
      <w:r>
        <w:rPr>
          <w:lang w:val="sr-Latn-RS" w:eastAsia="sr-Latn-CS"/>
        </w:rPr>
        <w:t>,</w:t>
      </w:r>
      <w:r>
        <w:rPr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просипање</w:t>
      </w:r>
      <w:r>
        <w:rPr>
          <w:lang w:val="sr-Latn-RS" w:eastAsia="sr-Latn-CS"/>
        </w:rPr>
        <w:t xml:space="preserve">, </w:t>
      </w:r>
      <w:r>
        <w:rPr>
          <w:rFonts w:ascii="TimesNewRoman" w:hAnsi="TimesNewRoman" w:cs="TimesNewRoman"/>
          <w:lang w:val="sr-Latn-RS" w:eastAsia="sr-Latn-CS"/>
        </w:rPr>
        <w:t xml:space="preserve">исцуривање </w:t>
      </w:r>
      <w:r>
        <w:rPr>
          <w:rFonts w:ascii="TimesNewRoman" w:hAnsi="TimesNewRoman" w:cs="TimesNewRoman"/>
          <w:lang w:val="sr-Cyrl-RS" w:eastAsia="sr-Latn-CS"/>
        </w:rPr>
        <w:t>масти и уља</w:t>
      </w:r>
      <w:r>
        <w:rPr>
          <w:lang w:val="sr-Latn-RS" w:eastAsia="sr-Latn-CS"/>
        </w:rPr>
        <w:t xml:space="preserve">), </w:t>
      </w:r>
      <w:r>
        <w:rPr>
          <w:rFonts w:ascii="TimesNewRoman" w:hAnsi="TimesNewRoman" w:cs="TimesNewRoman"/>
          <w:lang w:val="sr-Latn-RS" w:eastAsia="sr-Latn-CS"/>
        </w:rPr>
        <w:t>као и мере за отклањање последица у случају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удесних ситуација</w:t>
      </w:r>
      <w:r>
        <w:rPr>
          <w:lang w:val="sr-Latn-RS" w:eastAsia="sr-Latn-CS"/>
        </w:rPr>
        <w:t>;</w:t>
      </w:r>
    </w:p>
    <w:p w:rsidR="00924A2E" w:rsidRDefault="00E6154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lang w:val="sr-Latn-RS" w:eastAsia="sr-Latn-CS"/>
        </w:rPr>
      </w:pPr>
      <w:r>
        <w:rPr>
          <w:rFonts w:ascii="TimesNewRoman" w:hAnsi="TimesNewRoman" w:cs="TimesNewRoman"/>
          <w:lang w:eastAsia="sr-Latn-CS"/>
        </w:rPr>
        <w:t>Спроводити</w:t>
      </w:r>
      <w:r>
        <w:rPr>
          <w:rFonts w:ascii="TimesNewRoman" w:hAnsi="TimesNewRoman" w:cs="TimesNewRoman"/>
          <w:lang w:val="sr-Latn-RS" w:eastAsia="sr-Latn-CS"/>
        </w:rPr>
        <w:t xml:space="preserve"> </w:t>
      </w:r>
      <w:r>
        <w:rPr>
          <w:rFonts w:ascii="TimesNewRoman" w:hAnsi="TimesNewRoman" w:cs="TimesNewRoman"/>
          <w:lang w:eastAsia="sr-Latn-CS"/>
        </w:rPr>
        <w:t xml:space="preserve">прописане </w:t>
      </w:r>
      <w:r>
        <w:rPr>
          <w:rFonts w:ascii="TimesNewRoman" w:hAnsi="TimesNewRoman" w:cs="TimesNewRoman"/>
          <w:lang w:val="sr-Latn-RS" w:eastAsia="sr-Latn-CS"/>
        </w:rPr>
        <w:t>мере</w:t>
      </w:r>
      <w:r>
        <w:rPr>
          <w:rFonts w:ascii="TimesNewRoman" w:hAnsi="TimesNewRoman" w:cs="TimesNewRoman"/>
          <w:lang w:eastAsia="sr-Latn-CS"/>
        </w:rPr>
        <w:t xml:space="preserve"> </w:t>
      </w:r>
      <w:r>
        <w:rPr>
          <w:rFonts w:ascii="TimesNewRoman" w:hAnsi="TimesNewRoman" w:cs="TimesNewRoman"/>
          <w:lang w:val="sr-Latn-RS" w:eastAsia="sr-Latn-CS"/>
        </w:rPr>
        <w:t>заштите од пожара</w:t>
      </w:r>
      <w:r>
        <w:rPr>
          <w:rFonts w:ascii="TimesNewRoman" w:hAnsi="TimesNewRoman" w:cs="TimesNewRoman"/>
          <w:lang w:val="sr-Cyrl-RS" w:eastAsia="sr-Latn-CS"/>
        </w:rPr>
        <w:t>;</w:t>
      </w:r>
    </w:p>
    <w:p w:rsidR="00924A2E" w:rsidRDefault="00924A2E">
      <w:pPr>
        <w:pStyle w:val="ListParagraph"/>
        <w:autoSpaceDE w:val="0"/>
        <w:autoSpaceDN w:val="0"/>
        <w:adjustRightInd w:val="0"/>
        <w:ind w:left="1080"/>
        <w:jc w:val="both"/>
        <w:rPr>
          <w:color w:val="0F243E" w:themeColor="text2" w:themeShade="80"/>
        </w:rPr>
      </w:pPr>
    </w:p>
    <w:p w:rsidR="00924A2E" w:rsidRDefault="00E6154F">
      <w:pPr>
        <w:ind w:firstLine="708"/>
        <w:jc w:val="both"/>
      </w:pPr>
      <w:r>
        <w:rPr>
          <w:rStyle w:val="st"/>
          <w:b/>
          <w:lang w:val="sr-Latn-RS"/>
        </w:rPr>
        <w:t xml:space="preserve">IV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документациј</w:t>
      </w:r>
      <w:r>
        <w:t>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>.</w:t>
      </w:r>
    </w:p>
    <w:p w:rsidR="00924A2E" w:rsidRDefault="00E6154F">
      <w:pPr>
        <w:ind w:firstLine="708"/>
        <w:jc w:val="both"/>
        <w:rPr>
          <w:rStyle w:val="st"/>
        </w:rPr>
      </w:pPr>
      <w:r>
        <w:rPr>
          <w:rStyle w:val="st"/>
          <w:lang w:val="en-US"/>
        </w:rPr>
        <w:t xml:space="preserve"> </w:t>
      </w:r>
    </w:p>
    <w:p w:rsidR="00924A2E" w:rsidRDefault="00E6154F">
      <w:pPr>
        <w:ind w:firstLine="708"/>
        <w:jc w:val="both"/>
        <w:rPr>
          <w:lang w:val="sr-Cyrl-RS"/>
        </w:rPr>
      </w:pPr>
      <w:r>
        <w:rPr>
          <w:rStyle w:val="st"/>
          <w:b/>
          <w:lang w:val="sr-Latn-RS"/>
        </w:rPr>
        <w:t>V</w:t>
      </w:r>
      <w:r>
        <w:rPr>
          <w:rStyle w:val="st"/>
        </w:rPr>
        <w:t xml:space="preserve"> </w:t>
      </w:r>
      <w:r>
        <w:rPr>
          <w:lang w:val="sr-Cyrl-RS"/>
        </w:rPr>
        <w:t>Ако носилац пројекта у року од две године од дана достављања ове одлуке не отпочне са извођењем пројекта за који је одлука донета или ако носилац пројекта у току изградње или извођења пројек</w:t>
      </w:r>
      <w:r>
        <w:rPr>
          <w:lang w:val="sr-Cyrl-RS"/>
        </w:rPr>
        <w:t>та мора да одступи од документације на основу које је одлука донета или ако дође до битне измене чинилаца животне средине, односно ако носилац пројекта мора да одступи од мера и услова заштите животне средине одређених овом одлуком, дужан је да поднесе нов</w:t>
      </w:r>
      <w:r>
        <w:rPr>
          <w:lang w:val="sr-Cyrl-RS"/>
        </w:rPr>
        <w:t xml:space="preserve">и захтев за одлучивање о потреби процене утицаја. </w:t>
      </w:r>
    </w:p>
    <w:p w:rsidR="00924A2E" w:rsidRDefault="00924A2E">
      <w:pPr>
        <w:jc w:val="both"/>
      </w:pPr>
    </w:p>
    <w:p w:rsidR="00924A2E" w:rsidRDefault="00E6154F">
      <w:pPr>
        <w:jc w:val="center"/>
        <w:rPr>
          <w:b/>
          <w:i/>
        </w:rPr>
      </w:pPr>
      <w:proofErr w:type="spellStart"/>
      <w:r>
        <w:rPr>
          <w:b/>
          <w:i/>
        </w:rPr>
        <w:t>Образложење</w:t>
      </w:r>
      <w:proofErr w:type="spellEnd"/>
    </w:p>
    <w:p w:rsidR="00924A2E" w:rsidRDefault="00924A2E">
      <w:pPr>
        <w:jc w:val="both"/>
      </w:pPr>
    </w:p>
    <w:p w:rsidR="00924A2E" w:rsidRDefault="00E6154F">
      <w:pPr>
        <w:ind w:firstLine="708"/>
        <w:jc w:val="both"/>
        <w:rPr>
          <w:lang w:val="sr-Cyrl-RS"/>
        </w:rPr>
      </w:pP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Косјерић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обрати</w:t>
      </w:r>
      <w:proofErr w:type="spellEnd"/>
      <w:r>
        <w:rPr>
          <w:lang w:val="en-US"/>
        </w:rPr>
        <w:t>o</w:t>
      </w:r>
      <w:r>
        <w:t xml:space="preserve"> </w:t>
      </w:r>
      <w:r>
        <w:rPr>
          <w:lang w:val="sr-Cyrl-RS"/>
        </w:rPr>
        <w:t xml:space="preserve">се </w:t>
      </w:r>
      <w:proofErr w:type="spellStart"/>
      <w:r>
        <w:t>носи</w:t>
      </w:r>
      <w:proofErr w:type="spellEnd"/>
      <w:r>
        <w:rPr>
          <w:lang w:val="sr-Cyrl-RS"/>
        </w:rPr>
        <w:t>ла</w:t>
      </w:r>
      <w:proofErr w:type="spellStart"/>
      <w:r>
        <w:t>оц</w:t>
      </w:r>
      <w:proofErr w:type="spellEnd"/>
      <w:r>
        <w:rPr>
          <w:lang w:val="sr-Cyrl-RS"/>
        </w:rPr>
        <w:t xml:space="preserve"> </w:t>
      </w:r>
      <w:proofErr w:type="spellStart"/>
      <w:r>
        <w:t>пројекта</w:t>
      </w:r>
      <w:proofErr w:type="spellEnd"/>
      <w:r>
        <w:t xml:space="preserve"> </w:t>
      </w:r>
      <w:r>
        <w:rPr>
          <w:lang w:val="sr-Cyrl-RS"/>
        </w:rPr>
        <w:t>„</w:t>
      </w:r>
      <w:r>
        <w:t>WOOD PRODUCTION CO</w:t>
      </w:r>
      <w:r>
        <w:rPr>
          <w:lang w:val="sr-Cyrl-RS"/>
        </w:rPr>
        <w:t>“ ДОО ПАРАЋИН Шумадијска 138</w:t>
      </w:r>
      <w:r>
        <w:t xml:space="preserve">, </w:t>
      </w:r>
      <w:proofErr w:type="spellStart"/>
      <w:r>
        <w:t>захтевом</w:t>
      </w:r>
      <w:proofErr w:type="spellEnd"/>
      <w:r>
        <w:rPr>
          <w:lang w:val="sr-Cyrl-RS"/>
        </w:rPr>
        <w:t xml:space="preserve"> за одлучивање о потреби процене утицаја на животну средину пројекта </w:t>
      </w:r>
      <w:proofErr w:type="spellStart"/>
      <w:r>
        <w:t>изградње</w:t>
      </w:r>
      <w:proofErr w:type="spellEnd"/>
      <w:r>
        <w:t xml:space="preserve"> </w:t>
      </w:r>
      <w:r>
        <w:rPr>
          <w:lang w:val="sr-Cyrl-RS"/>
        </w:rPr>
        <w:t>два нова</w:t>
      </w:r>
      <w:r>
        <w:t xml:space="preserve"> </w:t>
      </w:r>
      <w:r>
        <w:rPr>
          <w:lang w:val="sr-Cyrl-RS"/>
        </w:rPr>
        <w:t>објекта за производњу пелета и доградње једног постојећег објекта за складиштење дрвне грађе, на кат.пар. број 1275/2  КО Брајковићи.</w:t>
      </w:r>
    </w:p>
    <w:p w:rsidR="00924A2E" w:rsidRDefault="00E6154F">
      <w:pPr>
        <w:ind w:firstLine="708"/>
        <w:jc w:val="both"/>
        <w:rPr>
          <w:lang w:val="sr-Cyrl-RS"/>
        </w:rPr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</w:t>
      </w:r>
      <w:r>
        <w:t>ожи</w:t>
      </w:r>
      <w:proofErr w:type="spellEnd"/>
      <w:r>
        <w:rPr>
          <w:lang w:val="en-US"/>
        </w:rPr>
        <w:t>o</w:t>
      </w:r>
      <w:r>
        <w:rPr>
          <w:lang w:val="sr-Cyrl-RS"/>
        </w:rPr>
        <w:t>:</w:t>
      </w:r>
    </w:p>
    <w:p w:rsidR="00924A2E" w:rsidRDefault="00E6154F">
      <w:pPr>
        <w:pStyle w:val="ListParagraph"/>
        <w:numPr>
          <w:ilvl w:val="0"/>
          <w:numId w:val="16"/>
        </w:numPr>
        <w:jc w:val="both"/>
      </w:pPr>
      <w:r>
        <w:t>Идејно решење,</w:t>
      </w:r>
      <w:r>
        <w:rPr>
          <w:lang w:val="sr-Cyrl-RS"/>
        </w:rPr>
        <w:t xml:space="preserve"> које је израдио </w:t>
      </w:r>
      <w:r>
        <w:rPr>
          <w:iCs/>
          <w:lang w:val="sr-Cyrl-RS"/>
        </w:rPr>
        <w:t>„</w:t>
      </w:r>
      <w:r>
        <w:rPr>
          <w:iCs/>
          <w:lang w:val="sr-Latn-RS"/>
        </w:rPr>
        <w:t>SMART BUILDING</w:t>
      </w:r>
      <w:r>
        <w:rPr>
          <w:iCs/>
          <w:lang w:val="sr-Cyrl-RS"/>
        </w:rPr>
        <w:t>“ из Ужица, ул. Димитрија Туцовића 95;</w:t>
      </w:r>
    </w:p>
    <w:p w:rsidR="00924A2E" w:rsidRDefault="00E6154F">
      <w:pPr>
        <w:pStyle w:val="ListParagraph"/>
        <w:numPr>
          <w:ilvl w:val="0"/>
          <w:numId w:val="16"/>
        </w:numPr>
        <w:jc w:val="both"/>
      </w:pPr>
      <w:r>
        <w:rPr>
          <w:lang w:val="sr-Latn-RS"/>
        </w:rPr>
        <w:t>Локацијске услове</w:t>
      </w:r>
      <w:r>
        <w:rPr>
          <w:lang w:val="sr-Cyrl-RS"/>
        </w:rPr>
        <w:t xml:space="preserve"> број предмета: </w:t>
      </w:r>
      <w:r>
        <w:rPr>
          <w:lang w:val="sr-Latn-RS"/>
        </w:rPr>
        <w:t>ROP-KOS-</w:t>
      </w:r>
      <w:r>
        <w:rPr>
          <w:lang w:val="sr-Cyrl-RS"/>
        </w:rPr>
        <w:t>2458</w:t>
      </w:r>
      <w:r>
        <w:rPr>
          <w:lang w:val="sr-Latn-RS"/>
        </w:rPr>
        <w:t>-LOC-1/20</w:t>
      </w:r>
      <w:r>
        <w:rPr>
          <w:lang w:val="sr-Cyrl-RS"/>
        </w:rPr>
        <w:t>25</w:t>
      </w:r>
      <w:r>
        <w:t xml:space="preserve"> </w:t>
      </w:r>
      <w:r>
        <w:rPr>
          <w:lang w:val="sr-Cyrl-RS"/>
        </w:rPr>
        <w:t xml:space="preserve">заводни </w:t>
      </w:r>
      <w:r>
        <w:t>бр</w:t>
      </w:r>
      <w:r>
        <w:rPr>
          <w:lang w:val="sr-Cyrl-RS"/>
        </w:rPr>
        <w:t>ој:</w:t>
      </w:r>
      <w:r>
        <w:t xml:space="preserve"> </w:t>
      </w:r>
      <w:r>
        <w:rPr>
          <w:lang w:val="sr-Latn-RS"/>
        </w:rPr>
        <w:t>353-</w:t>
      </w:r>
      <w:r>
        <w:rPr>
          <w:lang w:val="sr-Cyrl-RS"/>
        </w:rPr>
        <w:t>13</w:t>
      </w:r>
      <w:r>
        <w:t>/20</w:t>
      </w:r>
      <w:r>
        <w:rPr>
          <w:lang w:val="sr-Cyrl-RS"/>
        </w:rPr>
        <w:t>25</w:t>
      </w:r>
      <w:r>
        <w:t xml:space="preserve"> од </w:t>
      </w:r>
      <w:r>
        <w:rPr>
          <w:lang w:val="sr-Cyrl-RS"/>
        </w:rPr>
        <w:t>28.04.2025</w:t>
      </w:r>
      <w:r>
        <w:rPr>
          <w:lang w:val="sr-Latn-RS"/>
        </w:rPr>
        <w:t>.</w:t>
      </w:r>
      <w:r>
        <w:t xml:space="preserve"> године</w:t>
      </w:r>
      <w:r>
        <w:rPr>
          <w:lang w:val="sr-Cyrl-RS"/>
        </w:rPr>
        <w:t xml:space="preserve"> и</w:t>
      </w:r>
      <w:r>
        <w:t xml:space="preserve"> </w:t>
      </w:r>
    </w:p>
    <w:p w:rsidR="00924A2E" w:rsidRDefault="00E6154F">
      <w:pPr>
        <w:pStyle w:val="ListParagraph"/>
        <w:numPr>
          <w:ilvl w:val="0"/>
          <w:numId w:val="16"/>
        </w:numPr>
        <w:jc w:val="both"/>
        <w:rPr>
          <w:lang w:val="sr-Latn-RS"/>
        </w:rPr>
      </w:pPr>
      <w:r>
        <w:rPr>
          <w:lang w:val="sr-Cyrl-RS"/>
        </w:rPr>
        <w:t xml:space="preserve">Графички приказ микро и макро локације. </w:t>
      </w:r>
    </w:p>
    <w:p w:rsidR="00924A2E" w:rsidRDefault="00E6154F">
      <w:pPr>
        <w:jc w:val="both"/>
      </w:pPr>
      <w:r>
        <w:tab/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извршио увид у</w:t>
      </w:r>
      <w:r>
        <w:t xml:space="preserve"> </w:t>
      </w:r>
      <w:proofErr w:type="spellStart"/>
      <w:r>
        <w:t>захтев</w:t>
      </w:r>
      <w:proofErr w:type="spellEnd"/>
      <w:r>
        <w:rPr>
          <w:lang w:val="sr-Cyrl-RS"/>
        </w:rPr>
        <w:t xml:space="preserve"> за одлучивање о потреби процене утицаја на животну средину, Идејни пројекат</w:t>
      </w:r>
      <w:r>
        <w:t xml:space="preserve"> </w:t>
      </w:r>
      <w:r>
        <w:rPr>
          <w:lang w:val="sr-Cyrl-RS"/>
        </w:rPr>
        <w:t xml:space="preserve">и </w:t>
      </w:r>
      <w:r>
        <w:t xml:space="preserve">у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и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RS"/>
        </w:rPr>
        <w:t>“</w:t>
      </w:r>
      <w:r>
        <w:t xml:space="preserve">, </w:t>
      </w:r>
      <w:proofErr w:type="spellStart"/>
      <w:r>
        <w:t>број</w:t>
      </w:r>
      <w:proofErr w:type="spellEnd"/>
      <w:r>
        <w:t xml:space="preserve"> 114/08).</w:t>
      </w:r>
    </w:p>
    <w:p w:rsidR="00924A2E" w:rsidRDefault="00E6154F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Планирани објекат се налази на </w:t>
      </w:r>
      <w:proofErr w:type="spellStart"/>
      <w:r>
        <w:t>Лист</w:t>
      </w:r>
      <w:proofErr w:type="spellEnd"/>
      <w:r>
        <w:rPr>
          <w:lang w:val="sr-Cyrl-RS"/>
        </w:rPr>
        <w:t>и</w:t>
      </w:r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rPr>
          <w:lang w:val="sr-Cyrl-RS"/>
        </w:rPr>
        <w:t>.</w:t>
      </w:r>
    </w:p>
    <w:p w:rsidR="00924A2E" w:rsidRDefault="00E6154F">
      <w:pPr>
        <w:jc w:val="both"/>
        <w:rPr>
          <w:noProof/>
          <w:lang w:val="ru-RU"/>
        </w:rPr>
      </w:pPr>
      <w:r>
        <w:rPr>
          <w:lang w:val="sr-Cyrl-RS"/>
        </w:rPr>
        <w:tab/>
      </w:r>
      <w:r>
        <w:rPr>
          <w:noProof/>
          <w:lang w:val="ru-RU"/>
        </w:rPr>
        <w:t xml:space="preserve">Обавештење о поднетом захтеву је објављено у листу </w:t>
      </w:r>
      <w:r>
        <w:rPr>
          <w:lang w:val="sr-Cyrl-RS"/>
        </w:rPr>
        <w:t>„</w:t>
      </w:r>
      <w:r>
        <w:rPr>
          <w:noProof/>
          <w:lang w:val="ru-RU"/>
        </w:rPr>
        <w:t>Политика</w:t>
      </w:r>
      <w:r>
        <w:rPr>
          <w:lang w:val="sr-Cyrl-RS"/>
        </w:rPr>
        <w:t>“</w:t>
      </w:r>
      <w:r>
        <w:rPr>
          <w:noProof/>
          <w:lang w:val="ru-RU"/>
        </w:rPr>
        <w:t xml:space="preserve"> од 05.06.2025. године, на интрнет стр</w:t>
      </w:r>
      <w:r>
        <w:rPr>
          <w:noProof/>
          <w:lang w:val="ru-RU"/>
        </w:rPr>
        <w:t xml:space="preserve">аници општине Косјерић </w:t>
      </w:r>
      <w:hyperlink r:id="rId7" w:history="1">
        <w:r>
          <w:rPr>
            <w:rStyle w:val="Hyperlink"/>
          </w:rPr>
          <w:t>www.kosjeric.rs</w:t>
        </w:r>
      </w:hyperlink>
      <w:r>
        <w:rPr>
          <w:noProof/>
          <w:lang w:val="ru-RU"/>
        </w:rPr>
        <w:t xml:space="preserve"> и достављено је заинтересованим органима и организацијама. </w:t>
      </w:r>
    </w:p>
    <w:p w:rsidR="00924A2E" w:rsidRDefault="00E6154F">
      <w:pPr>
        <w:ind w:firstLine="720"/>
        <w:jc w:val="both"/>
        <w:rPr>
          <w:noProof/>
          <w:lang w:val="ru-RU"/>
        </w:rPr>
      </w:pPr>
      <w:r>
        <w:rPr>
          <w:noProof/>
          <w:lang w:val="ru-RU"/>
        </w:rPr>
        <w:t xml:space="preserve">Поводом поднетог захтева достављено је мишљење Завода за заштиту природе Србије 03 Бр.021-2012/2 од 11.06.2025. године, у коме се наводи да није потребно израдити студију о процени утицаја на животну средину. </w:t>
      </w:r>
    </w:p>
    <w:p w:rsidR="00924A2E" w:rsidRDefault="00E6154F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rPr>
          <w:lang w:val="sr-Cyrl-RS"/>
        </w:rPr>
        <w:tab/>
        <w:t>Након извршеног увида, у напред поменута доку</w:t>
      </w:r>
      <w:r>
        <w:rPr>
          <w:lang w:val="sr-Cyrl-RS"/>
        </w:rPr>
        <w:t>мента, орган надлежан за послове заштите животне средине, закључио је да су планирани</w:t>
      </w:r>
      <w:r>
        <w:t xml:space="preserve"> </w:t>
      </w:r>
      <w:r>
        <w:rPr>
          <w:lang w:val="sr-Cyrl-RS"/>
        </w:rPr>
        <w:t>објекти</w:t>
      </w:r>
      <w:r>
        <w:t xml:space="preserve"> </w:t>
      </w:r>
      <w:r>
        <w:rPr>
          <w:lang w:val="sr-Cyrl-RS"/>
        </w:rPr>
        <w:t>приземне зграде</w:t>
      </w:r>
      <w:r>
        <w:rPr>
          <w:lang w:val="sr-Latn-RS"/>
        </w:rPr>
        <w:t>,</w:t>
      </w:r>
      <w:r>
        <w:rPr>
          <w:lang w:val="sr-Cyrl-RS"/>
        </w:rPr>
        <w:t xml:space="preserve"> категорије „В“, класификациони број</w:t>
      </w:r>
      <w:r>
        <w:t xml:space="preserve"> </w:t>
      </w:r>
      <w:r>
        <w:rPr>
          <w:rFonts w:eastAsia="CIDFont+F3"/>
          <w:lang w:val="sr-Latn-RS"/>
        </w:rPr>
        <w:t>125103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 xml:space="preserve">- </w:t>
      </w:r>
      <w:r>
        <w:rPr>
          <w:rFonts w:eastAsia="CIDFont+F3"/>
          <w:lang w:val="sr-Cyrl-RS"/>
        </w:rPr>
        <w:t>н</w:t>
      </w:r>
      <w:r>
        <w:rPr>
          <w:rFonts w:eastAsia="CIDFont+F3"/>
          <w:lang w:val="sr-Latn-RS"/>
        </w:rPr>
        <w:t>аткривене зграде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које се употребљавају за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индустријску производњ</w:t>
      </w:r>
      <w:r>
        <w:rPr>
          <w:rFonts w:eastAsia="CIDFont+F3"/>
          <w:lang w:val="sr-Cyrl-RS"/>
        </w:rPr>
        <w:t>у</w:t>
      </w:r>
      <w:r>
        <w:rPr>
          <w:rFonts w:eastAsia="CIDFont+F3"/>
          <w:lang w:val="sr-Latn-RS"/>
        </w:rPr>
        <w:t>,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нпр. фабрике, радионице,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кланице</w:t>
      </w:r>
      <w:r>
        <w:rPr>
          <w:rFonts w:eastAsia="CIDFont+F3"/>
          <w:lang w:val="sr-Latn-RS"/>
        </w:rPr>
        <w:t>, пиваре, хале за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монтажу итд.</w:t>
      </w:r>
      <w:r>
        <w:rPr>
          <w:lang w:val="sr-Cyrl-RS"/>
        </w:rPr>
        <w:t xml:space="preserve">, укупне нето површине </w:t>
      </w:r>
      <w:r>
        <w:rPr>
          <w:rFonts w:eastAsia="CIDFont+F3"/>
          <w:lang w:val="sr-Latn-RS"/>
        </w:rPr>
        <w:t>1015,54m²</w:t>
      </w:r>
      <w:r>
        <w:rPr>
          <w:lang w:val="sr-Cyrl-RS"/>
        </w:rPr>
        <w:t>, где је п</w:t>
      </w:r>
      <w:r>
        <w:rPr>
          <w:rFonts w:eastAsia="CIDFont+F3"/>
          <w:lang w:val="sr-Latn-RS"/>
        </w:rPr>
        <w:t>редвиђена изградња два објекта (бр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4 и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5) за производњу и доградња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једног постојећег објекта (бр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3) за складиштење дрвне грађе у оквиру производње,</w:t>
      </w:r>
      <w:r>
        <w:rPr>
          <w:rFonts w:eastAsia="CIDFont+F3"/>
          <w:lang w:val="sr-Cyrl-RS"/>
        </w:rPr>
        <w:t xml:space="preserve"> </w:t>
      </w:r>
      <w:r>
        <w:rPr>
          <w:lang w:val="sr-Cyrl-RS"/>
        </w:rPr>
        <w:t>и да</w:t>
      </w:r>
      <w:r>
        <w:rPr>
          <w:vertAlign w:val="superscript"/>
          <w:lang w:val="sr-Cyrl-RS"/>
        </w:rPr>
        <w:t xml:space="preserve"> </w:t>
      </w:r>
      <w:r>
        <w:rPr>
          <w:lang w:val="sr-Cyrl-RS"/>
        </w:rPr>
        <w:t>парцела, на којој се п</w:t>
      </w:r>
      <w:r>
        <w:rPr>
          <w:lang w:val="sr-Cyrl-RS"/>
        </w:rPr>
        <w:t xml:space="preserve">ланира изградња, има могућност прикључка на водоводну мрежу, али да не постоји могућност прикључка на канализациону мрежу. </w:t>
      </w:r>
    </w:p>
    <w:p w:rsidR="00924A2E" w:rsidRDefault="00E6154F">
      <w:pPr>
        <w:autoSpaceDE w:val="0"/>
        <w:autoSpaceDN w:val="0"/>
        <w:adjustRightInd w:val="0"/>
        <w:ind w:firstLine="708"/>
        <w:jc w:val="both"/>
        <w:rPr>
          <w:rFonts w:eastAsia="CIDFont+F3"/>
          <w:lang w:val="sr-Latn-RS"/>
        </w:rPr>
      </w:pPr>
      <w:r>
        <w:rPr>
          <w:rFonts w:eastAsia="CIDFont+F3"/>
          <w:lang w:val="sr-Latn-RS"/>
        </w:rPr>
        <w:t>Намен</w:t>
      </w:r>
      <w:r>
        <w:rPr>
          <w:rFonts w:eastAsia="CIDFont+F3"/>
          <w:lang w:val="sr-Cyrl-RS"/>
        </w:rPr>
        <w:t xml:space="preserve">а </w:t>
      </w:r>
      <w:r>
        <w:rPr>
          <w:rFonts w:eastAsia="CIDFont+F3"/>
          <w:lang w:val="sr-Latn-RS"/>
        </w:rPr>
        <w:t>објекта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3</w:t>
      </w:r>
      <w:r>
        <w:rPr>
          <w:rFonts w:eastAsia="CIDFont+F3"/>
          <w:lang w:val="sr-Cyrl-RS"/>
        </w:rPr>
        <w:t xml:space="preserve"> је с</w:t>
      </w:r>
      <w:r>
        <w:rPr>
          <w:rFonts w:eastAsia="CIDFont+F3"/>
          <w:lang w:val="sr-Latn-RS"/>
        </w:rPr>
        <w:t>кладиште дрвне грађе</w:t>
      </w:r>
      <w:r>
        <w:rPr>
          <w:rFonts w:eastAsia="CIDFont+F3"/>
          <w:lang w:val="sr-Cyrl-RS"/>
        </w:rPr>
        <w:t>, о</w:t>
      </w:r>
      <w:r>
        <w:rPr>
          <w:rFonts w:eastAsia="CIDFont+F3"/>
          <w:lang w:val="sr-Latn-RS"/>
        </w:rPr>
        <w:t>бјект</w:t>
      </w:r>
      <w:r>
        <w:rPr>
          <w:rFonts w:eastAsia="CIDFont+F3"/>
          <w:lang w:val="sr-Cyrl-RS"/>
        </w:rPr>
        <w:t>а</w:t>
      </w:r>
      <w:r>
        <w:rPr>
          <w:rFonts w:eastAsia="CIDFont+F3"/>
          <w:lang w:val="sr-Latn-RS"/>
        </w:rPr>
        <w:t xml:space="preserve">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4</w:t>
      </w:r>
      <w:r>
        <w:rPr>
          <w:rFonts w:eastAsia="CIDFont+F3"/>
          <w:lang w:val="sr-Cyrl-RS"/>
        </w:rPr>
        <w:t xml:space="preserve"> је п</w:t>
      </w:r>
      <w:r>
        <w:rPr>
          <w:rFonts w:eastAsia="CIDFont+F3"/>
          <w:lang w:val="sr-Latn-RS"/>
        </w:rPr>
        <w:t>роизводња пелета</w:t>
      </w:r>
      <w:r>
        <w:rPr>
          <w:rFonts w:eastAsia="CIDFont+F3"/>
          <w:lang w:val="sr-Cyrl-RS"/>
        </w:rPr>
        <w:t>, а о</w:t>
      </w:r>
      <w:r>
        <w:rPr>
          <w:rFonts w:eastAsia="CIDFont+F3"/>
          <w:lang w:val="sr-Latn-RS"/>
        </w:rPr>
        <w:t>бјек</w:t>
      </w:r>
      <w:r>
        <w:rPr>
          <w:rFonts w:eastAsia="CIDFont+F3"/>
          <w:lang w:val="sr-Cyrl-RS"/>
        </w:rPr>
        <w:t>та</w:t>
      </w:r>
      <w:r>
        <w:rPr>
          <w:rFonts w:eastAsia="CIDFont+F3"/>
          <w:lang w:val="sr-Latn-RS"/>
        </w:rPr>
        <w:t xml:space="preserve">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5</w:t>
      </w:r>
      <w:r>
        <w:rPr>
          <w:rFonts w:eastAsia="CIDFont+F3"/>
          <w:lang w:val="sr-Cyrl-RS"/>
        </w:rPr>
        <w:t xml:space="preserve"> је п</w:t>
      </w:r>
      <w:r>
        <w:rPr>
          <w:rFonts w:eastAsia="CIDFont+F3"/>
          <w:lang w:val="sr-Latn-RS"/>
        </w:rPr>
        <w:t>роизводња и прерада дрвета</w:t>
      </w:r>
      <w:r>
        <w:rPr>
          <w:rFonts w:eastAsia="CIDFont+F3"/>
          <w:lang w:val="sr-Cyrl-RS"/>
        </w:rPr>
        <w:t xml:space="preserve">. </w:t>
      </w:r>
      <w:r>
        <w:rPr>
          <w:rFonts w:eastAsia="CIDFont+F3"/>
          <w:lang w:val="sr-Latn-RS"/>
        </w:rPr>
        <w:t>У обликованом смислу слободностојећи објекти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4 и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5 за нову градњу су са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геометријски правилним линијским елементима, правоугаоне основе. Спратност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 xml:space="preserve">објеката је П-приземље и садрже по једну просторију за производњу. </w:t>
      </w:r>
      <w:r>
        <w:rPr>
          <w:rFonts w:eastAsia="CIDFont+F3"/>
          <w:lang w:val="sr-Cyrl-RS"/>
        </w:rPr>
        <w:t xml:space="preserve">Укупна нето површина </w:t>
      </w:r>
      <w:r>
        <w:rPr>
          <w:rFonts w:eastAsia="CIDFont+F3"/>
          <w:lang w:val="sr-Latn-RS"/>
        </w:rPr>
        <w:t>објекта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4 је </w:t>
      </w:r>
      <w:r>
        <w:rPr>
          <w:rFonts w:eastAsia="CIDFont+F3"/>
          <w:lang w:val="sr-Cyrl-RS"/>
        </w:rPr>
        <w:t>394,54</w:t>
      </w:r>
      <w:r>
        <w:rPr>
          <w:rFonts w:eastAsia="CIDFont+F3"/>
          <w:lang w:val="sr-Latn-RS"/>
        </w:rPr>
        <w:t>m</w:t>
      </w:r>
      <w:r>
        <w:rPr>
          <w:rFonts w:eastAsia="CIDFont+F3"/>
          <w:vertAlign w:val="superscript"/>
          <w:lang w:val="sr-Cyrl-RS"/>
        </w:rPr>
        <w:t>2</w:t>
      </w:r>
      <w:r>
        <w:rPr>
          <w:rFonts w:eastAsia="CIDFont+F3"/>
          <w:lang w:val="sr-Cyrl-RS"/>
        </w:rPr>
        <w:t>,</w:t>
      </w:r>
      <w:r>
        <w:rPr>
          <w:rFonts w:eastAsia="CIDFont+F3"/>
          <w:lang w:val="sr-Latn-RS"/>
        </w:rPr>
        <w:t xml:space="preserve"> а објекта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5 </w:t>
      </w:r>
      <w:r>
        <w:rPr>
          <w:rFonts w:eastAsia="CIDFont+F3"/>
          <w:lang w:val="sr-Cyrl-RS"/>
        </w:rPr>
        <w:t>је 431,28</w:t>
      </w:r>
      <w:r>
        <w:rPr>
          <w:rFonts w:eastAsia="CIDFont+F3"/>
          <w:lang w:val="sr-Latn-RS"/>
        </w:rPr>
        <w:t>m</w:t>
      </w:r>
      <w:r>
        <w:rPr>
          <w:rFonts w:eastAsia="CIDFont+F3"/>
          <w:vertAlign w:val="superscript"/>
          <w:lang w:val="sr-Cyrl-RS"/>
        </w:rPr>
        <w:t>2</w:t>
      </w:r>
      <w:r>
        <w:rPr>
          <w:rFonts w:eastAsia="CIDFont+F3"/>
          <w:lang w:val="sr-Latn-RS"/>
        </w:rPr>
        <w:t>.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Објекат бр</w:t>
      </w:r>
      <w:r>
        <w:rPr>
          <w:rFonts w:eastAsia="CIDFont+F3"/>
          <w:lang w:val="sr-Cyrl-RS"/>
        </w:rPr>
        <w:t>ој</w:t>
      </w:r>
      <w:r>
        <w:rPr>
          <w:rFonts w:eastAsia="CIDFont+F3"/>
          <w:lang w:val="sr-Latn-RS"/>
        </w:rPr>
        <w:t xml:space="preserve"> 3 који је предвиђен за доградњу са северне стране објекта</w:t>
      </w:r>
      <w:r>
        <w:rPr>
          <w:rFonts w:eastAsia="CIDFont+F3"/>
          <w:lang w:val="sr-Cyrl-RS"/>
        </w:rPr>
        <w:t>,</w:t>
      </w:r>
      <w:r>
        <w:rPr>
          <w:rFonts w:eastAsia="CIDFont+F3"/>
          <w:lang w:val="sr-Latn-RS"/>
        </w:rPr>
        <w:t xml:space="preserve"> који има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грађевинску дозволу</w:t>
      </w:r>
      <w:r>
        <w:rPr>
          <w:rFonts w:eastAsia="CIDFont+F3"/>
          <w:lang w:val="sr-Cyrl-RS"/>
        </w:rPr>
        <w:t>,</w:t>
      </w:r>
      <w:r>
        <w:rPr>
          <w:rFonts w:eastAsia="CIDFont+F3"/>
          <w:lang w:val="sr-Latn-RS"/>
        </w:rPr>
        <w:t xml:space="preserve"> </w:t>
      </w:r>
      <w:r>
        <w:rPr>
          <w:rFonts w:eastAsia="CIDFont+F3"/>
          <w:lang w:val="sr-Cyrl-RS"/>
        </w:rPr>
        <w:t>имаће укупну нето површину</w:t>
      </w:r>
      <w:r>
        <w:rPr>
          <w:rFonts w:eastAsia="CIDFont+F3"/>
          <w:lang w:val="sr-Latn-RS"/>
        </w:rPr>
        <w:t xml:space="preserve"> </w:t>
      </w:r>
      <w:r>
        <w:rPr>
          <w:rFonts w:eastAsia="CIDFont+F3"/>
          <w:lang w:val="sr-Cyrl-RS"/>
        </w:rPr>
        <w:t>189,72</w:t>
      </w:r>
      <w:r>
        <w:rPr>
          <w:rFonts w:eastAsia="CIDFont+F3"/>
          <w:lang w:val="sr-Latn-RS"/>
        </w:rPr>
        <w:t>m</w:t>
      </w:r>
      <w:r>
        <w:rPr>
          <w:rFonts w:eastAsia="CIDFont+F3"/>
          <w:vertAlign w:val="superscript"/>
          <w:lang w:val="sr-Cyrl-RS"/>
        </w:rPr>
        <w:t>2</w:t>
      </w:r>
      <w:r>
        <w:rPr>
          <w:rFonts w:eastAsia="CIDFont+F3"/>
          <w:lang w:val="sr-Cyrl-RS"/>
        </w:rPr>
        <w:t>, а</w:t>
      </w:r>
      <w:r>
        <w:rPr>
          <w:rFonts w:eastAsia="CIDFont+F3"/>
          <w:vertAlign w:val="superscript"/>
          <w:lang w:val="sr-Cyrl-RS"/>
        </w:rPr>
        <w:t xml:space="preserve"> </w:t>
      </w:r>
      <w:r>
        <w:rPr>
          <w:rFonts w:eastAsia="CIDFont+F3"/>
          <w:lang w:val="sr-Cyrl-RS"/>
        </w:rPr>
        <w:t>с</w:t>
      </w:r>
      <w:r>
        <w:rPr>
          <w:rFonts w:eastAsia="CIDFont+F3"/>
          <w:lang w:val="sr-Latn-RS"/>
        </w:rPr>
        <w:t>пратност објекта је П-приземље са</w:t>
      </w:r>
      <w:r>
        <w:rPr>
          <w:rFonts w:eastAsia="CIDFont+F3"/>
          <w:lang w:val="sr-Cyrl-RS"/>
        </w:rPr>
        <w:t xml:space="preserve"> </w:t>
      </w:r>
      <w:r>
        <w:rPr>
          <w:rFonts w:eastAsia="CIDFont+F3"/>
          <w:lang w:val="sr-Latn-RS"/>
        </w:rPr>
        <w:t>геометријски правилним линијск</w:t>
      </w:r>
      <w:r>
        <w:rPr>
          <w:rFonts w:eastAsia="CIDFont+F3"/>
          <w:lang w:val="sr-Latn-RS"/>
        </w:rPr>
        <w:t>им елементима, правоугаоне основе.</w:t>
      </w:r>
    </w:p>
    <w:p w:rsidR="00924A2E" w:rsidRDefault="00E6154F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rPr>
          <w:rFonts w:eastAsia="CIDFont+F3"/>
          <w:lang w:val="sr-Cyrl-RS"/>
        </w:rPr>
        <w:lastRenderedPageBreak/>
        <w:t xml:space="preserve">У предметном објекту број 4  биће постављено и инсталирано постројење за производњу пелета, тј. одвијаће се све технолошке фазе процеса (припрема сировина, производња пелета и паковање). Предвиђени капацитет производње </w:t>
      </w:r>
      <w:r>
        <w:rPr>
          <w:rFonts w:eastAsia="CIDFont+F3"/>
          <w:lang w:val="sr-Cyrl-RS"/>
        </w:rPr>
        <w:t>пелета је 1</w:t>
      </w:r>
      <w:r>
        <w:rPr>
          <w:rFonts w:eastAsia="CIDFont+F3"/>
          <w:lang w:val="sr-Latn-RS"/>
        </w:rPr>
        <w:t>t/h</w:t>
      </w:r>
      <w:r>
        <w:rPr>
          <w:rFonts w:eastAsia="CIDFont+F3"/>
          <w:lang w:val="sr-Cyrl-RS"/>
        </w:rPr>
        <w:t>, односно око 4000-4500</w:t>
      </w:r>
      <w:r>
        <w:rPr>
          <w:rFonts w:eastAsia="CIDFont+F3"/>
          <w:lang w:val="sr-Latn-RS"/>
        </w:rPr>
        <w:t>t</w:t>
      </w:r>
      <w:r>
        <w:rPr>
          <w:rFonts w:eastAsia="CIDFont+F3"/>
          <w:lang w:val="sr-Cyrl-RS"/>
        </w:rPr>
        <w:t xml:space="preserve"> годишње. </w:t>
      </w:r>
    </w:p>
    <w:p w:rsidR="00924A2E" w:rsidRDefault="00E6154F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Сировина за производњу пелета је искључиво дрво, које није хемијски третирано на било који начин (шумски отпад, амбалажни дрвени отпад, остаци из примарне прераде дрвета). </w:t>
      </w:r>
    </w:p>
    <w:p w:rsidR="00924A2E" w:rsidRDefault="00E6154F">
      <w:pPr>
        <w:jc w:val="both"/>
        <w:rPr>
          <w:lang w:val="sr-Cyrl-RS"/>
        </w:rPr>
      </w:pPr>
      <w:r>
        <w:rPr>
          <w:lang w:val="sr-Cyrl-RS"/>
        </w:rPr>
        <w:tab/>
        <w:t>Најзначајнији енегрент је електр</w:t>
      </w:r>
      <w:r>
        <w:rPr>
          <w:lang w:val="sr-Cyrl-RS"/>
        </w:rPr>
        <w:t>ична енергија, која ће се користити за осветљење фабрике, напајање електромоторних погона и управљање радом постројења.</w:t>
      </w:r>
    </w:p>
    <w:p w:rsidR="00924A2E" w:rsidRDefault="00E6154F">
      <w:pPr>
        <w:jc w:val="both"/>
        <w:rPr>
          <w:lang w:val="sr-Cyrl-RS"/>
        </w:rPr>
      </w:pPr>
      <w:r>
        <w:rPr>
          <w:lang w:val="sr-Cyrl-RS"/>
        </w:rPr>
        <w:tab/>
        <w:t>Потрошња воде неће имати веће размере, из разлога што ће се у току функционисања пројекта користи одређена количина воде за пиће и сани</w:t>
      </w:r>
      <w:r>
        <w:rPr>
          <w:lang w:val="sr-Cyrl-RS"/>
        </w:rPr>
        <w:t>тарне потребе радника, одржавање простора и противпожарну мрежу. Фекална канализација из објекта се одводи до ревизионог шахта, одакле се прикључује на септичку јаму.</w:t>
      </w:r>
    </w:p>
    <w:p w:rsidR="00924A2E" w:rsidRDefault="00E6154F">
      <w:pPr>
        <w:ind w:firstLine="708"/>
        <w:jc w:val="both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спроведеном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донето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у</w:t>
      </w:r>
      <w:r>
        <w:t>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r>
        <w:rPr>
          <w:lang w:val="sr-Cyrl-RS"/>
        </w:rPr>
        <w:t xml:space="preserve">поштовање техничко-технолошких мера, услова надлежних органа, организација и предузећа и мера заштите и очувања животне средине, планираних и пројектованих за предметни пројекат, ближе описаних у тачки </w:t>
      </w:r>
      <w:r>
        <w:rPr>
          <w:b/>
          <w:lang w:val="sr-Latn-RS"/>
        </w:rPr>
        <w:t>III</w:t>
      </w:r>
      <w:r>
        <w:rPr>
          <w:lang w:val="sr-Cyrl-RS"/>
        </w:rPr>
        <w:t xml:space="preserve"> диспози</w:t>
      </w:r>
      <w:r>
        <w:rPr>
          <w:lang w:val="sr-Cyrl-RS"/>
        </w:rPr>
        <w:t>тива решења, може се очекивати да предметни пројекат неће угрожавати медијуме животне средине.</w:t>
      </w:r>
    </w:p>
    <w:p w:rsidR="00924A2E" w:rsidRDefault="00E6154F">
      <w:pPr>
        <w:jc w:val="both"/>
      </w:pPr>
      <w:r>
        <w:tab/>
        <w:t xml:space="preserve">УПУТСТВО О ПРАВНОМ СРЕДСТВУ: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РС,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</w:t>
      </w:r>
      <w:r>
        <w:t>јема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таксом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таксама</w:t>
      </w:r>
      <w:proofErr w:type="spellEnd"/>
      <w:r>
        <w:t>.</w:t>
      </w:r>
    </w:p>
    <w:p w:rsidR="00924A2E" w:rsidRDefault="00924A2E">
      <w:pPr>
        <w:jc w:val="both"/>
      </w:pPr>
    </w:p>
    <w:p w:rsidR="00924A2E" w:rsidRDefault="00924A2E">
      <w:pPr>
        <w:rPr>
          <w:lang w:val="sr-Cyrl-CS"/>
        </w:rPr>
      </w:pPr>
    </w:p>
    <w:p w:rsidR="00924A2E" w:rsidRDefault="00E6154F">
      <w:pPr>
        <w:rPr>
          <w:lang w:val="sr-Cyrl-CS"/>
        </w:rPr>
      </w:pPr>
      <w:r>
        <w:rPr>
          <w:lang w:val="sr-Cyrl-CS"/>
        </w:rPr>
        <w:t>Доставити:</w:t>
      </w:r>
    </w:p>
    <w:p w:rsidR="00924A2E" w:rsidRDefault="00E6154F">
      <w:pPr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носиоцу пројекта</w:t>
      </w:r>
    </w:p>
    <w:p w:rsidR="00924A2E" w:rsidRDefault="00E6154F">
      <w:pPr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општинском инспектору за заштиту животне средине</w:t>
      </w:r>
    </w:p>
    <w:p w:rsidR="00924A2E" w:rsidRDefault="00E6154F">
      <w:pPr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 xml:space="preserve">општинском органу надлежном за одобрење пројекта </w:t>
      </w:r>
    </w:p>
    <w:p w:rsidR="00924A2E" w:rsidRDefault="00E6154F">
      <w:pPr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архиви</w:t>
      </w:r>
    </w:p>
    <w:p w:rsidR="00924A2E" w:rsidRDefault="00924A2E">
      <w:pPr>
        <w:pStyle w:val="BodyText"/>
      </w:pPr>
    </w:p>
    <w:p w:rsidR="00924A2E" w:rsidRDefault="00E6154F">
      <w:pPr>
        <w:tabs>
          <w:tab w:val="left" w:pos="6720"/>
        </w:tabs>
        <w:jc w:val="center"/>
        <w:rPr>
          <w:b/>
        </w:rPr>
      </w:pPr>
      <w:r>
        <w:rPr>
          <w:bCs/>
          <w:lang w:val="sr-Cyrl-RS"/>
        </w:rPr>
        <w:t xml:space="preserve">        </w:t>
      </w:r>
      <w:proofErr w:type="spellStart"/>
      <w:r>
        <w:rPr>
          <w:bCs/>
        </w:rPr>
        <w:t>Обради</w:t>
      </w:r>
      <w:proofErr w:type="spellEnd"/>
      <w:r>
        <w:rPr>
          <w:bCs/>
          <w:lang w:val="sr-Cyrl-RS"/>
        </w:rPr>
        <w:t>ла</w:t>
      </w:r>
      <w:r>
        <w:rPr>
          <w:bCs/>
        </w:rPr>
        <w:t>:</w:t>
      </w:r>
      <w:r>
        <w:rPr>
          <w:bCs/>
        </w:rPr>
        <w:tab/>
      </w:r>
      <w:r>
        <w:rPr>
          <w:b/>
        </w:rPr>
        <w:t>НАЧЕЛНИК УПРАВЕ,</w:t>
      </w:r>
    </w:p>
    <w:p w:rsidR="00924A2E" w:rsidRDefault="00E6154F">
      <w:pPr>
        <w:pStyle w:val="BodyText"/>
        <w:tabs>
          <w:tab w:val="left" w:pos="6090"/>
          <w:tab w:val="left" w:pos="6360"/>
        </w:tabs>
        <w:rPr>
          <w:lang w:val="sr-Latn-RS"/>
        </w:rPr>
      </w:pPr>
      <w:r>
        <w:rPr>
          <w:lang w:val="sr-Cyrl-RS"/>
        </w:rPr>
        <w:t xml:space="preserve">        </w:t>
      </w:r>
      <w:r>
        <w:t>Јелица Тодоровић</w:t>
      </w:r>
      <w:r>
        <w:tab/>
      </w:r>
      <w:r>
        <w:rPr>
          <w:lang w:val="sr-Latn-RS"/>
        </w:rPr>
        <w:t xml:space="preserve">             </w:t>
      </w:r>
      <w:r>
        <w:rPr>
          <w:lang w:val="sr-Cyrl-RS"/>
        </w:rPr>
        <w:t xml:space="preserve">     </w:t>
      </w:r>
      <w:r>
        <w:rPr>
          <w:b/>
          <w:lang w:val="sr-Cyrl-RS"/>
        </w:rPr>
        <w:t>Гордана Гвозденовић</w:t>
      </w:r>
      <w:r>
        <w:rPr>
          <w:b/>
        </w:rPr>
        <w:t xml:space="preserve">                                                        </w:t>
      </w:r>
    </w:p>
    <w:p w:rsidR="00924A2E" w:rsidRDefault="00E6154F">
      <w:pPr>
        <w:rPr>
          <w:b/>
        </w:rPr>
      </w:pPr>
      <w:r>
        <w:rPr>
          <w:lang w:val="sr-Latn-RS"/>
        </w:rPr>
        <w:t xml:space="preserve">   </w:t>
      </w:r>
      <w:r>
        <w:rPr>
          <w:lang w:val="sr-Cyrl-RS"/>
        </w:rPr>
        <w:t xml:space="preserve"> </w:t>
      </w:r>
    </w:p>
    <w:p w:rsidR="00924A2E" w:rsidRDefault="00924A2E">
      <w:pPr>
        <w:pStyle w:val="BodyText"/>
      </w:pPr>
    </w:p>
    <w:sectPr w:rsidR="00924A2E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09"/>
    <w:multiLevelType w:val="multilevel"/>
    <w:tmpl w:val="7DCA3A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1EE3FD1"/>
    <w:multiLevelType w:val="multilevel"/>
    <w:tmpl w:val="02CE176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1800"/>
      </w:pPr>
      <w:rPr>
        <w:rFonts w:ascii="Times New Roman" w:hAnsi="Times New Roman" w:cs="Times New Roman" w:hint="default"/>
      </w:rPr>
    </w:lvl>
  </w:abstractNum>
  <w:abstractNum w:abstractNumId="2">
    <w:nsid w:val="02EA0BFF"/>
    <w:multiLevelType w:val="hybridMultilevel"/>
    <w:tmpl w:val="881A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93200"/>
    <w:multiLevelType w:val="hybridMultilevel"/>
    <w:tmpl w:val="13C259C6"/>
    <w:lvl w:ilvl="0" w:tplc="B7A82BF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C4202"/>
    <w:multiLevelType w:val="hybridMultilevel"/>
    <w:tmpl w:val="3B0A58B8"/>
    <w:lvl w:ilvl="0" w:tplc="94668F92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262D3"/>
    <w:multiLevelType w:val="hybridMultilevel"/>
    <w:tmpl w:val="899467C8"/>
    <w:lvl w:ilvl="0" w:tplc="CBCE51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C3FAA"/>
    <w:multiLevelType w:val="hybridMultilevel"/>
    <w:tmpl w:val="72F6D2F2"/>
    <w:lvl w:ilvl="0" w:tplc="CA8016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854DE"/>
    <w:multiLevelType w:val="hybridMultilevel"/>
    <w:tmpl w:val="39F25EA6"/>
    <w:lvl w:ilvl="0" w:tplc="9AE2508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4037A"/>
    <w:multiLevelType w:val="hybridMultilevel"/>
    <w:tmpl w:val="FBDEFC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3E54"/>
    <w:multiLevelType w:val="multilevel"/>
    <w:tmpl w:val="C6B6A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DB36D1"/>
    <w:multiLevelType w:val="hybridMultilevel"/>
    <w:tmpl w:val="6DC82B06"/>
    <w:lvl w:ilvl="0" w:tplc="11F41D4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4116A"/>
    <w:multiLevelType w:val="multilevel"/>
    <w:tmpl w:val="1AE8AD5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B12BBC"/>
    <w:multiLevelType w:val="hybridMultilevel"/>
    <w:tmpl w:val="4790D034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B03102A"/>
    <w:multiLevelType w:val="multilevel"/>
    <w:tmpl w:val="6C102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</w:rPr>
    </w:lvl>
  </w:abstractNum>
  <w:abstractNum w:abstractNumId="14">
    <w:nsid w:val="3DFC1BF7"/>
    <w:multiLevelType w:val="hybridMultilevel"/>
    <w:tmpl w:val="61FA3FF0"/>
    <w:lvl w:ilvl="0" w:tplc="852A06F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8014BA"/>
    <w:multiLevelType w:val="hybridMultilevel"/>
    <w:tmpl w:val="1AE8AD56"/>
    <w:lvl w:ilvl="0" w:tplc="568A75F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2434E9"/>
    <w:multiLevelType w:val="hybridMultilevel"/>
    <w:tmpl w:val="570A935C"/>
    <w:lvl w:ilvl="0" w:tplc="352C35F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31" w:hanging="360"/>
      </w:pPr>
    </w:lvl>
    <w:lvl w:ilvl="2" w:tplc="081A001B" w:tentative="1">
      <w:start w:val="1"/>
      <w:numFmt w:val="lowerRoman"/>
      <w:lvlText w:val="%3."/>
      <w:lvlJc w:val="right"/>
      <w:pPr>
        <w:ind w:left="2651" w:hanging="180"/>
      </w:pPr>
    </w:lvl>
    <w:lvl w:ilvl="3" w:tplc="081A000F" w:tentative="1">
      <w:start w:val="1"/>
      <w:numFmt w:val="decimal"/>
      <w:lvlText w:val="%4."/>
      <w:lvlJc w:val="left"/>
      <w:pPr>
        <w:ind w:left="3371" w:hanging="360"/>
      </w:pPr>
    </w:lvl>
    <w:lvl w:ilvl="4" w:tplc="081A0019" w:tentative="1">
      <w:start w:val="1"/>
      <w:numFmt w:val="lowerLetter"/>
      <w:lvlText w:val="%5."/>
      <w:lvlJc w:val="left"/>
      <w:pPr>
        <w:ind w:left="4091" w:hanging="360"/>
      </w:pPr>
    </w:lvl>
    <w:lvl w:ilvl="5" w:tplc="081A001B" w:tentative="1">
      <w:start w:val="1"/>
      <w:numFmt w:val="lowerRoman"/>
      <w:lvlText w:val="%6."/>
      <w:lvlJc w:val="right"/>
      <w:pPr>
        <w:ind w:left="4811" w:hanging="180"/>
      </w:pPr>
    </w:lvl>
    <w:lvl w:ilvl="6" w:tplc="081A000F" w:tentative="1">
      <w:start w:val="1"/>
      <w:numFmt w:val="decimal"/>
      <w:lvlText w:val="%7."/>
      <w:lvlJc w:val="left"/>
      <w:pPr>
        <w:ind w:left="5531" w:hanging="360"/>
      </w:pPr>
    </w:lvl>
    <w:lvl w:ilvl="7" w:tplc="081A0019" w:tentative="1">
      <w:start w:val="1"/>
      <w:numFmt w:val="lowerLetter"/>
      <w:lvlText w:val="%8."/>
      <w:lvlJc w:val="left"/>
      <w:pPr>
        <w:ind w:left="6251" w:hanging="360"/>
      </w:pPr>
    </w:lvl>
    <w:lvl w:ilvl="8" w:tplc="0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D351C"/>
    <w:multiLevelType w:val="multilevel"/>
    <w:tmpl w:val="EF4E1DEE"/>
    <w:lvl w:ilvl="0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ascii="TimesNewRoman" w:hAnsi="TimesNewRoman" w:cs="TimesNewRoman"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ascii="TimesNewRoman" w:hAnsi="TimesNewRoman" w:cs="TimesNewRoman" w:hint="default"/>
      </w:rPr>
    </w:lvl>
    <w:lvl w:ilvl="3">
      <w:start w:val="1"/>
      <w:numFmt w:val="decimal"/>
      <w:isLgl/>
      <w:lvlText w:val="%1.%2.%3.%4."/>
      <w:lvlJc w:val="left"/>
      <w:pPr>
        <w:ind w:left="3534" w:hanging="720"/>
      </w:pPr>
      <w:rPr>
        <w:rFonts w:ascii="TimesNewRoman" w:hAnsi="TimesNewRoman" w:cs="TimesNewRoman" w:hint="default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ascii="TimesNewRoman" w:hAnsi="TimesNewRoman" w:cs="TimesNewRoman" w:hint="default"/>
      </w:rPr>
    </w:lvl>
    <w:lvl w:ilvl="5">
      <w:start w:val="1"/>
      <w:numFmt w:val="decimal"/>
      <w:isLgl/>
      <w:lvlText w:val="%1.%2.%3.%4.%5.%6."/>
      <w:lvlJc w:val="left"/>
      <w:pPr>
        <w:ind w:left="5290" w:hanging="1080"/>
      </w:pPr>
      <w:rPr>
        <w:rFonts w:ascii="TimesNewRoman" w:hAnsi="TimesNewRoman" w:cs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6348" w:hanging="1440"/>
      </w:pPr>
      <w:rPr>
        <w:rFonts w:ascii="TimesNewRoman" w:hAnsi="TimesNewRoman" w:cs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440"/>
      </w:pPr>
      <w:rPr>
        <w:rFonts w:ascii="TimesNewRoman" w:hAnsi="TimesNewRoman" w:cs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800"/>
      </w:pPr>
      <w:rPr>
        <w:rFonts w:ascii="TimesNewRoman" w:hAnsi="TimesNewRoman" w:cs="TimesNewRoman" w:hint="default"/>
      </w:rPr>
    </w:lvl>
  </w:abstractNum>
  <w:abstractNum w:abstractNumId="18">
    <w:nsid w:val="4FBA5EE1"/>
    <w:multiLevelType w:val="hybridMultilevel"/>
    <w:tmpl w:val="39EEDB54"/>
    <w:lvl w:ilvl="0" w:tplc="C3C4E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562B8"/>
    <w:multiLevelType w:val="multilevel"/>
    <w:tmpl w:val="7DCA3A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5E896D45"/>
    <w:multiLevelType w:val="multilevel"/>
    <w:tmpl w:val="39EED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994B8D"/>
    <w:multiLevelType w:val="multilevel"/>
    <w:tmpl w:val="6C102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</w:rPr>
    </w:lvl>
  </w:abstractNum>
  <w:abstractNum w:abstractNumId="22">
    <w:nsid w:val="6A854A48"/>
    <w:multiLevelType w:val="hybridMultilevel"/>
    <w:tmpl w:val="68A6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32C12"/>
    <w:multiLevelType w:val="multilevel"/>
    <w:tmpl w:val="EF4E1DEE"/>
    <w:lvl w:ilvl="0">
      <w:start w:val="1"/>
      <w:numFmt w:val="decimal"/>
      <w:lvlText w:val="%1."/>
      <w:lvlJc w:val="left"/>
      <w:pPr>
        <w:ind w:left="1080" w:hanging="360"/>
      </w:pPr>
      <w:rPr>
        <w:rFonts w:ascii="TimesNewRoman" w:hAnsi="TimesNewRoman" w:cs="TimesNewRoman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ascii="TimesNewRoman" w:hAnsi="TimesNewRoman" w:cs="TimesNewRoman"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ascii="TimesNewRoman" w:hAnsi="TimesNewRoman" w:cs="TimesNewRoman" w:hint="default"/>
      </w:rPr>
    </w:lvl>
    <w:lvl w:ilvl="3">
      <w:start w:val="1"/>
      <w:numFmt w:val="decimal"/>
      <w:isLgl/>
      <w:lvlText w:val="%1.%2.%3.%4."/>
      <w:lvlJc w:val="left"/>
      <w:pPr>
        <w:ind w:left="3534" w:hanging="720"/>
      </w:pPr>
      <w:rPr>
        <w:rFonts w:ascii="TimesNewRoman" w:hAnsi="TimesNewRoman" w:cs="TimesNewRoman" w:hint="default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ascii="TimesNewRoman" w:hAnsi="TimesNewRoman" w:cs="TimesNewRoman" w:hint="default"/>
      </w:rPr>
    </w:lvl>
    <w:lvl w:ilvl="5">
      <w:start w:val="1"/>
      <w:numFmt w:val="decimal"/>
      <w:isLgl/>
      <w:lvlText w:val="%1.%2.%3.%4.%5.%6."/>
      <w:lvlJc w:val="left"/>
      <w:pPr>
        <w:ind w:left="5290" w:hanging="1080"/>
      </w:pPr>
      <w:rPr>
        <w:rFonts w:ascii="TimesNewRoman" w:hAnsi="TimesNewRoman" w:cs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6348" w:hanging="1440"/>
      </w:pPr>
      <w:rPr>
        <w:rFonts w:ascii="TimesNewRoman" w:hAnsi="TimesNewRoman" w:cs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440"/>
      </w:pPr>
      <w:rPr>
        <w:rFonts w:ascii="TimesNewRoman" w:hAnsi="TimesNewRoman" w:cs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800"/>
      </w:pPr>
      <w:rPr>
        <w:rFonts w:ascii="TimesNewRoman" w:hAnsi="TimesNewRoman" w:cs="TimesNewRoman" w:hint="default"/>
      </w:rPr>
    </w:lvl>
  </w:abstractNum>
  <w:abstractNum w:abstractNumId="24">
    <w:nsid w:val="7FF06E78"/>
    <w:multiLevelType w:val="hybridMultilevel"/>
    <w:tmpl w:val="3662C0A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19"/>
  </w:num>
  <w:num w:numId="5">
    <w:abstractNumId w:val="0"/>
  </w:num>
  <w:num w:numId="6">
    <w:abstractNumId w:val="15"/>
  </w:num>
  <w:num w:numId="7">
    <w:abstractNumId w:val="11"/>
  </w:num>
  <w:num w:numId="8">
    <w:abstractNumId w:val="18"/>
  </w:num>
  <w:num w:numId="9">
    <w:abstractNumId w:val="20"/>
  </w:num>
  <w:num w:numId="10">
    <w:abstractNumId w:val="16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  <w:num w:numId="20">
    <w:abstractNumId w:val="23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2E"/>
    <w:rsid w:val="00924A2E"/>
    <w:rsid w:val="00E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link w:val="BodyText"/>
    <w:rPr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sr-Cyrl-CS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t">
    <w:name w:val="st"/>
    <w:basedOn w:val="DefaultParagraphFont"/>
  </w:style>
  <w:style w:type="character" w:customStyle="1" w:styleId="BodyTextChar">
    <w:name w:val="Body Text Char"/>
    <w:link w:val="BodyText"/>
    <w:rPr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sr-Cyrl-CS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sjeri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Radovan</cp:lastModifiedBy>
  <cp:revision>2</cp:revision>
  <cp:lastPrinted>2018-10-15T12:46:00Z</cp:lastPrinted>
  <dcterms:created xsi:type="dcterms:W3CDTF">2025-07-08T10:49:00Z</dcterms:created>
  <dcterms:modified xsi:type="dcterms:W3CDTF">2025-07-08T10:49:00Z</dcterms:modified>
</cp:coreProperties>
</file>