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11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AE3223" w:rsidRPr="00AE3223" w:rsidTr="003C53E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AE3223" w:rsidRPr="00AE3223" w:rsidTr="003C53E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510.449.486,00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497.449.486,00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479.967.109,00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14.611.377,00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500.239.579,00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485.810.410,00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846.000,00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13.583.169,00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21.116.960,00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18.868.000,00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2.058.960,00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-12.132.427,00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-581.000,00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-12.713.427,00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19.248.427,00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AE3223" w:rsidRPr="00AE3223" w:rsidTr="003C53E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12.713.427,00</w:t>
            </w: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</w:pPr>
      <w:r w:rsidRPr="00AE3223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ab/>
      </w:r>
      <w:r w:rsidRPr="00AE3223">
        <w:rPr>
          <w:rFonts w:ascii="Times New Roman" w:eastAsia="Times New Roman" w:hAnsi="Times New Roman" w:cs="Times New Roman"/>
          <w:b/>
          <w:sz w:val="20"/>
          <w:szCs w:val="20"/>
          <w:lang w:val="sr-Cyrl-RS" w:eastAsia="zh-CN"/>
        </w:rPr>
        <w:t>ИЗВЕШТАЈ О БУЏЕТУ – ОСМИ ДОПУНСКИ ОПШТИНЕ КОСЈЕРИЋ ЗА 2024.ГОДИНУ</w:t>
      </w: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AE3223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AE3223" w:rsidRPr="00AE3223" w:rsidTr="003C53E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AE3223" w:rsidRPr="00AE3223" w:rsidTr="003C53E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510.449.486,00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367.286.935,00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281.065.000,00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55.690.650,00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16.931.285,00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13.600.000,00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71.183.058,00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57.683.996,00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523.162.913,00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501.464.953,00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160.076.855,00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188.144.933,00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1.623.000,00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16.248.614,00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41.994.051,00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23.635.500,00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69.742.000,00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21.116.960,00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</w:tr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</w:tr>
      <w:bookmarkStart w:id="2" w:name="_Toc6"/>
      <w:bookmarkEnd w:id="2"/>
      <w:tr w:rsidR="00AE3223" w:rsidRPr="00AE3223" w:rsidTr="003C53E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AE3223" w:rsidRPr="00AE3223" w:rsidTr="003C53E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AE3223" w:rsidRPr="00AE3223" w:rsidTr="003C53EE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E3223" w:rsidRPr="00AE3223" w:rsidTr="003C53E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9.369.000,00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38.765.000,00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22.483.550,00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53.974.051,00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119.632.401,00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26.249.096,00</w:t>
            </w:r>
          </w:p>
        </w:tc>
      </w:tr>
      <w:tr w:rsidR="00AE3223" w:rsidRPr="00AE3223" w:rsidTr="003C53E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AE3223" w:rsidRPr="00AE3223" w:rsidTr="003C53E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529.697.913,00</w:t>
            </w: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AE3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AE3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5.527.000,00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E3223" w:rsidRPr="00AE3223" w:rsidTr="003C53E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AE32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AE3223" w:rsidRPr="00AE3223" w:rsidTr="003C53E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AE32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AE3223" w:rsidRPr="00AE3223" w:rsidTr="003C53EE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E3223" w:rsidRPr="00AE3223" w:rsidTr="003C53E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AE3223" w:rsidRPr="00AE3223" w:rsidTr="003C53E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3.675.711,00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7.915.060,00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7.915.060,00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5.747.648,00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878.070,00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3.279.868,00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497.450,00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1.966.191,00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 и деца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040: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КУПОВИНА СЕОСКЕ КУЦЕ СА ОКУЦНИЦОМ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46.204.051,00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8,72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48.411.956,00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48.411.956,00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9,14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7.321.548,00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7.321.548,00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2,62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9.395.000,00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99.425.504,00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99.425.504,00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18,77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18,83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1,23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31.188.000,00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5,89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36.188.000,00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36.188.000,00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6,83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8,50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9.083.550,00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9.083.550,00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НАКНАДА ШТЕТЕ ЗА ПОВРЕДЕ ИЛИ ШТЕТУ НАНЕТУ ОД СТРАНЕ ДРЖАВНИХ </w:t>
            </w: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5.698.000,00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14.248.000,00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14.248.000,00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19.842.614,00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4,75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4,77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3.515.212,00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9,45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50.993.465,00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50.993.465,00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9,63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7.725.510,00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7.725.510,00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4.467.000,00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8.710.246,00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1.343.500,00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1.847.500,00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1,84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16,14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16,14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16,14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1.148.002,00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1.148.002,00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1.486.000,00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14.847.002,00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15.845.002,00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15.019.002,00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16.055.002,00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3,03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5.353.612,00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5.353.612,00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1,01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8.727.593,00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1,65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5.457.000,00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1,03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1,04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E3223" w:rsidRPr="00AE3223" w:rsidTr="003C53E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481.962.629,00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481.962.629,00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17.993.503,00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500.992.132,00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94,58</w:t>
            </w:r>
          </w:p>
        </w:tc>
      </w:tr>
      <w:tr w:rsidR="00AE3223" w:rsidRPr="00AE3223" w:rsidTr="003C53E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E3223" w:rsidRPr="00AE3223" w:rsidTr="003C53E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510.668.410,00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14.611.377,00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510.668.410,00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17.993.503,00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529.697.913,00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AE3223" w:rsidRPr="00AE3223" w:rsidTr="003C53EE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AE3223" w:rsidRPr="00AE3223" w:rsidTr="003C53EE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AE3223" w:rsidRPr="00AE3223" w:rsidTr="003C53E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AE3223" w:rsidRPr="00AE3223" w:rsidTr="003C53E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AE3223" w:rsidRPr="00AE3223" w:rsidTr="003C53EE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AE3223" w:rsidRPr="00AE3223" w:rsidTr="003C53EE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E3223" w:rsidRPr="00AE3223" w:rsidTr="003C53E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AE3223" w:rsidRPr="00AE3223" w:rsidTr="003C53EE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ФУНКЦИОНАЛНИМ КЛАСИФИКАЦИЈАМА</w:t>
            </w:r>
          </w:p>
        </w:tc>
      </w:tr>
      <w:tr w:rsidR="00AE3223" w:rsidRPr="00AE3223" w:rsidTr="003C53EE">
        <w:trPr>
          <w:trHeight w:val="464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E3223" w:rsidRPr="00AE3223" w:rsidTr="003C53E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bookmarkStart w:id="36" w:name="__bookmark_43"/>
                  <w:bookmarkEnd w:id="36"/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</w:tr>
      <w:bookmarkStart w:id="37" w:name="_Toc040_Породица_и_деца"/>
      <w:bookmarkEnd w:id="37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040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</w:tr>
      <w:bookmarkStart w:id="38" w:name="_Toc070_Социјална_помоћ_угроженом_станов"/>
      <w:bookmarkEnd w:id="38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070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46.204.051,00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</w:tr>
      <w:bookmarkStart w:id="39" w:name="_Toc090_Социјална_заштита_некласификован"/>
      <w:bookmarkEnd w:id="39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090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9.145.060,00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4.988.318,00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14.133.378,00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14.133.378,00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111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12.115.718,00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2" w:name="_Toc130_Опште_услуге"/>
      <w:bookmarkEnd w:id="42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130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99.725.504,00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3" w:name="_Toc160_Опште_јавне_услуге_некласификова"/>
      <w:bookmarkEnd w:id="43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160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4" w:name="_Toc170_Трансакције_јавног_дуга"/>
      <w:bookmarkEnd w:id="44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170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5" w:name="_Toc330_Судови"/>
      <w:bookmarkEnd w:id="45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330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2.456.685,00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6" w:name="_Toc360_Јавни_ред_и_безбедност_некласифи"/>
      <w:bookmarkEnd w:id="46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360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7" w:name="_Toc411_Општи_економски_и_комерцијални_п"/>
      <w:bookmarkEnd w:id="47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411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8" w:name="_Toc421_Пољопривреда"/>
      <w:bookmarkEnd w:id="48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421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3.955.000,00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9" w:name="_Toc451_Друмски_саобраћај"/>
      <w:bookmarkEnd w:id="49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451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45.040.000,00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0" w:name="_Toc473_Туризам"/>
      <w:bookmarkEnd w:id="50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473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14.914.593,00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13.587.593,00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</w:tr>
      <w:bookmarkStart w:id="51" w:name="_Toc510_Управљање_отпадом"/>
      <w:bookmarkEnd w:id="51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510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12.293.550,00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2" w:name="_Toc560_Заштита_животне_средине_некласиф"/>
      <w:bookmarkEnd w:id="52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560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10.190.000,00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</w:tr>
      <w:bookmarkStart w:id="53" w:name="_Toc620_Развој_заједнице"/>
      <w:bookmarkEnd w:id="53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620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19.842.614,00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14.248.000,00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19.842.614,00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14.248.000,00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</w:tr>
      <w:bookmarkStart w:id="54" w:name="_Toc640_Улична_расвета"/>
      <w:bookmarkEnd w:id="54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640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25.265.000,00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5" w:name="_Toc660_Послови_становања_и_заједнице_не"/>
      <w:bookmarkEnd w:id="55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660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6" w:name="_Toc760_Здравство_некласификовано_на_дру"/>
      <w:bookmarkEnd w:id="56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760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7" w:name="_Toc810_Услуге_рекреације_и_спорта"/>
      <w:bookmarkEnd w:id="57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810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8" w:name="_Toc820_Услуге_културе"/>
      <w:bookmarkEnd w:id="58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Функц. клас. 820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19.570.214,00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16.319.002,00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2.215.212,00</w:t>
            </w:r>
          </w:p>
        </w:tc>
      </w:tr>
      <w:bookmarkStart w:id="59" w:name="_Toc830_Услуге_емитовања_и_штампања"/>
      <w:bookmarkEnd w:id="59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830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0" w:name="_Toc911_Предшколско_образовање"/>
      <w:bookmarkEnd w:id="60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911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5.210.626,00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85.505.606,00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80.294.980,00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5.210.626,00</w:t>
            </w:r>
          </w:p>
        </w:tc>
      </w:tr>
      <w:bookmarkStart w:id="61" w:name="_Toc912_Основно_образовање"/>
      <w:bookmarkEnd w:id="61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912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2" w:name="_Toc920_Средње_образовање"/>
      <w:bookmarkEnd w:id="62"/>
      <w:tr w:rsidR="00AE3223" w:rsidRPr="00AE3223" w:rsidTr="003C53E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3C53E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 920</w:t>
            </w:r>
          </w:p>
        </w:tc>
      </w:tr>
      <w:tr w:rsidR="00AE3223" w:rsidRPr="00AE3223" w:rsidTr="003C53E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3C53E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E3223" w:rsidRPr="00AE3223" w:rsidTr="003C53E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3" w:name="__bookmark_44"/>
            <w:bookmarkEnd w:id="63"/>
          </w:p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AE3223" w:rsidRPr="00AE3223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E3223" w:rsidRPr="00AE3223" w:rsidRDefault="00AE3223" w:rsidP="00AE3223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64" w:name="__bookmark_48"/>
      <w:bookmarkEnd w:id="64"/>
    </w:p>
    <w:tbl>
      <w:tblPr>
        <w:tblW w:w="5000" w:type="pct"/>
        <w:tblLook w:val="01E0" w:firstRow="1" w:lastRow="1" w:firstColumn="1" w:lastColumn="1" w:noHBand="0" w:noVBand="0"/>
      </w:tblPr>
      <w:tblGrid>
        <w:gridCol w:w="974"/>
        <w:gridCol w:w="6636"/>
        <w:gridCol w:w="1462"/>
      </w:tblGrid>
      <w:tr w:rsidR="00AE3223" w:rsidRPr="00AE3223" w:rsidTr="00AE3223">
        <w:trPr>
          <w:trHeight w:val="276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bookmarkStart w:id="65" w:name="_GoBack"/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ПРОЈЕКТИМА</w:t>
            </w:r>
          </w:p>
        </w:tc>
      </w:tr>
      <w:tr w:rsidR="00AE3223" w:rsidRPr="00AE3223" w:rsidTr="00AE3223">
        <w:trPr>
          <w:trHeight w:val="464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E3223" w:rsidRPr="00AE3223" w:rsidTr="00AE322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3223" w:rsidRPr="00AE3223" w:rsidRDefault="00AE3223" w:rsidP="00AE32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AE322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AE3223" w:rsidRPr="00AE3223" w:rsidRDefault="00AE3223" w:rsidP="00AE3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AE3223">
        <w:trPr>
          <w:trHeight w:hRule="exact" w:val="300"/>
          <w:tblHeader/>
        </w:trPr>
        <w:tc>
          <w:tcPr>
            <w:tcW w:w="53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65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0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223" w:rsidRPr="00AE3223" w:rsidRDefault="00AE3223" w:rsidP="00AE3223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AE3223">
        <w:trPr>
          <w:tblHeader/>
        </w:trPr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пројекта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 у динарима</w:t>
            </w:r>
          </w:p>
        </w:tc>
      </w:tr>
      <w:bookmarkStart w:id="66" w:name="_Toc0401_ЗАШТИТА_ЖИВОТНЕ_СРЕДИНЕ"/>
      <w:bookmarkEnd w:id="66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 ЗАШТИТА ЖИВОТНЕ СРЕДИНЕ"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0401   ЗАШТИТА ЖИВОТНЕ СРЕДИНЕ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0401   ЗАШТИТА ЖИВОТНЕ СРЕДИНЕ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3.300.000,00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7" w:name="_Toc0501_ЕНЕРГЕТСКА_ЕФИКАСНОСТ_И_ОБНОВЉИ"/>
      <w:bookmarkEnd w:id="67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 ЕНЕРГЕТСКА ЕФИКАСНОСТ И ОБНОВЉИВИ ИЗВОРИ ЕНЕРГИЈЕ"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0501   ЕНЕРГЕТСКА ЕФИКАСНОСТ И ОБНОВЉИВИ ИЗВОРИ ЕНЕРГИЈЕ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8" w:name="_Toc0602_ОПШТЕ_УСЛУГЕ_ЛОКАЛНЕ_САМОУПРАВЕ"/>
      <w:bookmarkEnd w:id="68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 ОПШТЕ УСЛУГЕ ЛОКАЛНЕ САМОУПРАВЕ"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0602   ОПШТЕ УСЛУГЕ ЛОКАЛНЕ САМОУПРАВЕ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1.716.960,00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0602   ОПШТЕ УСЛУГЕ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3.825.212,00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9" w:name="_Toc0701_ОРГАНИЗАЦИЈА_САОБРАЋАЈА_И_САОБР"/>
      <w:bookmarkEnd w:id="69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 ОРГАНИЗАЦИЈА САОБРАЋАЈА И САОБРАЋАЈНА ИНФРАСТРУКТУРА"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0701   ОРГАНИЗАЦИЈА САОБРАЋАЈА И САОБРАЋАЈНА ИНФРАСТРУКТУРА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0" w:name="_Toc0902_СОЦИЈАЛНА_И_ДЕЧЈА_ЗАШТИТА"/>
      <w:bookmarkEnd w:id="70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 СОЦИЈАЛНА И ДЕЧЈА ЗАШТИТА"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0902   СОЦИЈАЛНА И ДЕЧЈА ЗАШТИТА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0902   СОЦИЈАЛНА И ДЕЧЈА ЗАШТИТА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2.233.223,00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1" w:name="_Toc1101_СТАНОВАЊЕ,_УРБАНИЗАМ_И_ПРОСТОРН"/>
      <w:bookmarkEnd w:id="71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 СТАНОВАЊЕ, УРБАНИЗАМ И ПРОСТОРНО ПЛАНИРАЊЕ"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1101   СТАНОВАЊЕ, УРБАНИЗАМ И ПРОСТОРНО ПЛАНИРАЊЕ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1.971.000,00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2" w:name="_Toc1102_КОМУНАЛНЕ_ДЕЛАТНОСТИ"/>
      <w:bookmarkEnd w:id="72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 КОМУНАЛНЕ ДЕЛАТНОСТИ"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1102   КОМУНАЛНЕ ДЕЛАТНОСТИ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1102   КОМУНАЛНЕ ДЕЛАТНОСТИ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3" w:name="_Toc1201_РАЗВОЈ_КУЛТУРЕ_И_ИНФОРМИСАЊА"/>
      <w:bookmarkEnd w:id="73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 РАЗВОЈ КУЛТУРЕ И ИНФОРМИСАЊА"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1201   РАЗВОЈ КУЛТУРЕ И ИНФОРМИСАЊА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1201   РАЗВОЈ КУЛТУРЕ И ИНФОРМИСАЊА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4" w:name="_Toc1502_РАЗВОЈ_ТУРИЗМА"/>
      <w:bookmarkEnd w:id="74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 РАЗВОЈ ТУРИЗМА"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1502   РАЗВОЈ ТУРИЗМА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5.527.000,00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1502   РАЗВОЈ ТУРИЗМА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6.127.000,00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5" w:name="_Toc2101_ПОЛИТИЧКИ_СИСТЕМ_ЛОКАЛНЕ_САМОУП"/>
      <w:bookmarkEnd w:id="75"/>
      <w:tr w:rsidR="00AE3223" w:rsidRPr="00AE3223" w:rsidTr="00AE3223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 ПОЛИТИЧКИ СИСТЕМ ЛОКАЛНЕ САМОУПРАВЕ" \f C \l "1"</w:instrText>
            </w:r>
            <w:r w:rsidRPr="00AE32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  2101   ПОЛИТИЧКИ СИСТЕМ ЛОКАЛНЕ САМОУПРАВЕ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</w:tr>
      <w:tr w:rsidR="00AE3223" w:rsidRPr="00AE3223" w:rsidTr="00AE3223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програм:   2101   ПОЛИТИЧКИ СИСТЕМ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1.230.000,00</w:t>
            </w:r>
          </w:p>
        </w:tc>
      </w:tr>
      <w:tr w:rsidR="00AE3223" w:rsidRPr="00AE3223" w:rsidTr="00AE3223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AE3223" w:rsidRPr="00AE3223" w:rsidTr="00AE3223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   0   БУЏЕТ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223" w:rsidRPr="00AE3223" w:rsidRDefault="00AE3223" w:rsidP="00AE3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AE32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38.322.049,00</w:t>
            </w:r>
          </w:p>
        </w:tc>
      </w:tr>
      <w:bookmarkEnd w:id="65"/>
    </w:tbl>
    <w:p w:rsidR="007361C7" w:rsidRDefault="007361C7"/>
    <w:sectPr w:rsidR="00736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E82D6F2" wp14:editId="5C7CEB0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F504281" wp14:editId="05143119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9673992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DDD712B" wp14:editId="234B482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A1AD4BC" wp14:editId="125FF35C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10341876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5EFF104" wp14:editId="30FDE55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7533D7A" wp14:editId="6F6A3E1F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15760123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94F983E" wp14:editId="5D9073F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9BDA4B9" wp14:editId="4B650674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11689066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61FE09B" wp14:editId="1FF8819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B8F3054" wp14:editId="5F3DD723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6203764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450"/>
        <w:hidden/>
      </w:trPr>
      <w:tc>
        <w:tcPr>
          <w:tcW w:w="11400" w:type="dxa"/>
        </w:tcPr>
        <w:p w:rsidR="00557500" w:rsidRDefault="00AE32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57500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4432E1C7" wp14:editId="6F0C725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B8B9F1E" wp14:editId="46641332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57500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158938529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AE32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B53C288" wp14:editId="575AC4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0326940" wp14:editId="38FC9FE8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3751299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450"/>
        <w:hidden/>
      </w:trPr>
      <w:tc>
        <w:tcPr>
          <w:tcW w:w="16332" w:type="dxa"/>
        </w:tcPr>
        <w:p w:rsidR="00557500" w:rsidRDefault="00AE32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57500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75B28036" wp14:editId="5BED895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2BB5E12" wp14:editId="2914B59A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57500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divId w:val="11265864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57500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57500" w:rsidRDefault="00AE3223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57500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57500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AE32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jc w:val="right"/>
                        <w:divId w:val="70151797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57500">
      <w:trPr>
        <w:trHeight w:val="375"/>
        <w:hidden/>
      </w:trPr>
      <w:tc>
        <w:tcPr>
          <w:tcW w:w="16332" w:type="dxa"/>
        </w:tcPr>
        <w:p w:rsidR="00557500" w:rsidRDefault="00AE32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57500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7500" w:rsidRDefault="00AE32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57500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BC44AB" w:rsidRDefault="00AE3223">
                      <w:pPr>
                        <w:jc w:val="right"/>
                        <w:divId w:val="4838368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15.11.2024 09:25:29</w:t>
                      </w:r>
                    </w:p>
                    <w:p w:rsidR="00557500" w:rsidRDefault="00AE3223">
                      <w:pPr>
                        <w:spacing w:line="1" w:lineRule="auto"/>
                      </w:pPr>
                    </w:p>
                  </w:tc>
                </w:tr>
              </w:tbl>
              <w:p w:rsidR="00557500" w:rsidRDefault="00AE3223">
                <w:pPr>
                  <w:spacing w:line="1" w:lineRule="auto"/>
                </w:pPr>
              </w:p>
            </w:tc>
          </w:tr>
        </w:tbl>
        <w:p w:rsidR="00557500" w:rsidRDefault="00AE322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223"/>
    <w:rsid w:val="007361C7"/>
    <w:rsid w:val="00AE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E3223"/>
  </w:style>
  <w:style w:type="character" w:styleId="Hyperlink">
    <w:name w:val="Hyperlink"/>
    <w:rsid w:val="00AE32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22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23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E3223"/>
  </w:style>
  <w:style w:type="character" w:styleId="Hyperlink">
    <w:name w:val="Hyperlink"/>
    <w:rsid w:val="00AE32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22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23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oter" Target="footer8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9959</Words>
  <Characters>56772</Characters>
  <Application>Microsoft Office Word</Application>
  <DocSecurity>0</DocSecurity>
  <Lines>473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2024-11-15T11:05:00Z</dcterms:created>
  <dcterms:modified xsi:type="dcterms:W3CDTF">2024-11-15T11:06:00Z</dcterms:modified>
</cp:coreProperties>
</file>