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spacing w:line="240" w:lineRule="auto"/>
        <w:jc w:val="center"/>
        <w:rPr>
          <w:b/>
          <w:lang w:val="sr-Cyrl-CS"/>
        </w:rPr>
      </w:pPr>
      <w:r>
        <w:rPr>
          <w:b/>
          <w:iCs/>
          <w:color w:val="FF0000"/>
          <w:lang w:val="ru-RU"/>
        </w:rPr>
        <w:t xml:space="preserve">Набавка услуга израде пројектно техничке документације за изградњу прикључног топловода за објекат Дома здравља </w:t>
      </w:r>
      <w:r>
        <w:rPr>
          <w:b/>
          <w:color w:val="FF0000"/>
          <w:lang w:val="sr-Cyrl-RS"/>
        </w:rPr>
        <w:t xml:space="preserve">у Косјерићу </w:t>
      </w: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  <w:bookmarkStart w:id="0" w:name="_GoBack"/>
      <w:bookmarkEnd w:id="0"/>
    </w:p>
    <w:p>
      <w:pPr>
        <w:spacing w:line="240" w:lineRule="auto"/>
        <w:jc w:val="center"/>
        <w:rPr>
          <w:color w:val="auto"/>
          <w:sz w:val="23"/>
          <w:szCs w:val="23"/>
          <w:lang w:val="sr-Cyrl-RS"/>
        </w:rPr>
      </w:pPr>
    </w:p>
    <w:p>
      <w:pPr>
        <w:spacing w:line="240" w:lineRule="auto"/>
        <w:jc w:val="center"/>
      </w:pPr>
      <w:r>
        <w:rPr>
          <w:color w:val="auto"/>
          <w:sz w:val="23"/>
          <w:szCs w:val="23"/>
          <w:lang w:val="sr-Cyrl-RS"/>
        </w:rPr>
        <w:t>К</w:t>
      </w:r>
      <w:r>
        <w:rPr>
          <w:lang w:val="sr-Cyrl-CS"/>
        </w:rPr>
        <w:t xml:space="preserve">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 xml:space="preserve">Рок за извршење услуга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>2. РИ= Р</w:t>
      </w:r>
      <w:r>
        <w:rPr>
          <w:b/>
          <w:lang w:val="sr-Cyrl-CS"/>
        </w:rPr>
        <w:t xml:space="preserve">ок за </w:t>
      </w:r>
      <w:r>
        <w:rPr>
          <w:b/>
          <w:lang w:val="sr-Cyrl-RS"/>
        </w:rPr>
        <w:t>извршење услуга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2021-05-12T07:50:00Z</cp:lastPrinted>
  <dcterms:created xsi:type="dcterms:W3CDTF">2021-05-24T11:53:00Z</dcterms:created>
  <dcterms:modified xsi:type="dcterms:W3CDTF">2023-08-04T11:22:00Z</dcterms:modified>
</cp:coreProperties>
</file>