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И ЧЛАНА 114.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both"/>
      </w:pPr>
      <w:r>
        <w:tab/>
      </w:r>
      <w:r>
        <w:tab/>
      </w:r>
      <w:r>
        <w:tab/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</w:pPr>
    </w:p>
    <w:p>
      <w:pPr>
        <w:spacing w:line="240" w:lineRule="auto"/>
        <w:jc w:val="both"/>
        <w:rPr>
          <w:color w:val="FF0000"/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4546A" w:themeColor="text2"/>
          <w:lang w:val="sr-Cyrl-CS"/>
        </w:rPr>
        <w:t xml:space="preserve">члана 27. став 1. тачка 1) и члана 91. Закона о јавним набавкама </w:t>
      </w:r>
      <w:r>
        <w:rPr>
          <w:b/>
          <w:color w:val="44546A" w:themeColor="text2"/>
          <w:lang w:val="sr-Cyrl-CS"/>
        </w:rPr>
        <w:t>(</w:t>
      </w:r>
      <w:r>
        <w:rPr>
          <w:color w:val="44546A" w:themeColor="text2"/>
          <w:lang w:val="sr-Cyrl-CS"/>
        </w:rPr>
        <w:t>„Службени гласник РС“</w:t>
      </w:r>
      <w:r>
        <w:rPr>
          <w:color w:val="44546A" w:themeColor="text2"/>
        </w:rPr>
        <w:t>,</w:t>
      </w:r>
      <w:r>
        <w:rPr>
          <w:color w:val="44546A" w:themeColor="text2"/>
          <w:lang w:val="sr-Cyrl-CS"/>
        </w:rPr>
        <w:t xml:space="preserve"> број </w:t>
      </w:r>
      <w:r>
        <w:rPr>
          <w:color w:val="44546A" w:themeColor="text2"/>
        </w:rPr>
        <w:t>91/2019</w:t>
      </w:r>
      <w:r>
        <w:rPr>
          <w:color w:val="44546A" w:themeColor="text2"/>
          <w:lang w:val="sr-Cyrl-CS"/>
        </w:rPr>
        <w:t xml:space="preserve">) - </w:t>
      </w:r>
      <w:r>
        <w:rPr>
          <w:lang w:val="sr-Cyrl-RS"/>
        </w:rPr>
        <w:t xml:space="preserve">Набавка </w:t>
      </w:r>
      <w:r>
        <w:rPr>
          <w:color w:val="FF0000"/>
          <w:lang w:val="sr-Cyrl-RS"/>
        </w:rPr>
        <w:t>услуга ажурирања</w:t>
      </w:r>
      <w:r>
        <w:rPr>
          <w:color w:val="FF0000"/>
          <w:lang w:val="sr-Cyrl-CS"/>
        </w:rPr>
        <w:t xml:space="preserve"> Процене угрожености од елементарних непогода и других несрећа </w:t>
      </w:r>
      <w:r>
        <w:rPr>
          <w:color w:val="FF0000"/>
          <w:lang w:val="sr-Cyrl-RS"/>
        </w:rPr>
        <w:t xml:space="preserve">за подручје </w:t>
      </w:r>
      <w:r>
        <w:rPr>
          <w:color w:val="FF0000"/>
          <w:lang w:val="sr-Cyrl-CS"/>
        </w:rPr>
        <w:t>општине Косјерић</w:t>
      </w:r>
      <w:r>
        <w:rPr>
          <w:color w:val="FF0000"/>
          <w:lang w:val="sr-Cyrl-RS"/>
        </w:rPr>
        <w:t>:</w:t>
      </w:r>
    </w:p>
    <w:p>
      <w:pPr>
        <w:ind w:left="-142"/>
        <w:jc w:val="both"/>
        <w:rPr>
          <w:color w:val="FF0000"/>
          <w:lang w:val="sr-Cyrl-RS"/>
        </w:rPr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  <w:rPr>
          <w:b/>
        </w:rPr>
      </w:pPr>
      <w:r>
        <w:rPr>
          <w:b/>
          <w:lang w:val="sr-Cyrl-RS"/>
        </w:rPr>
        <w:t>Испуњава критеријуме за квалитативни избор привредног субјекта</w:t>
      </w:r>
      <w:r>
        <w:rPr>
          <w:b/>
        </w:rPr>
        <w:t>,</w:t>
      </w:r>
      <w:r>
        <w:rPr>
          <w:b/>
          <w:lang w:val="sr-Cyrl-RS"/>
        </w:rPr>
        <w:t xml:space="preserve"> из члана 111. става 1. Закона о јавним набавкама </w:t>
      </w:r>
      <w:r>
        <w:rPr>
          <w:b/>
          <w:lang w:val="sr-Cyrl-CS"/>
        </w:rPr>
        <w:t>(„Службени гласник</w:t>
      </w:r>
      <w:r>
        <w:rPr>
          <w:b/>
        </w:rPr>
        <w:t xml:space="preserve"> </w:t>
      </w:r>
      <w:r>
        <w:rPr>
          <w:b/>
          <w:lang w:val="sr-Cyrl-CS"/>
        </w:rPr>
        <w:t xml:space="preserve"> РС“, број 91/2019)</w:t>
      </w:r>
      <w:r>
        <w:rPr>
          <w:b/>
          <w:lang w:val="sr-Cyrl-RS"/>
        </w:rPr>
        <w:t xml:space="preserve"> и нема основа за искључење из поступка набавке.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 xml:space="preserve"> </w:t>
      </w:r>
    </w:p>
    <w:p>
      <w:pPr>
        <w:ind w:left="-142"/>
        <w:jc w:val="both"/>
        <w:rPr>
          <w:lang w:val="sr-Cyrl-RS"/>
        </w:rPr>
      </w:pP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bCs/>
          <w:color w:val="auto"/>
          <w:kern w:val="0"/>
          <w:lang w:val="sr-Cyrl-RS" w:eastAsia="en-US"/>
        </w:rPr>
      </w:pPr>
      <w:r>
        <w:rPr>
          <w:rFonts w:eastAsiaTheme="minorHAnsi"/>
          <w:bCs/>
          <w:color w:val="auto"/>
          <w:kern w:val="0"/>
          <w:lang w:eastAsia="en-US"/>
        </w:rPr>
        <w:t>Основи за искључење</w:t>
      </w:r>
      <w:r>
        <w:rPr>
          <w:rFonts w:eastAsiaTheme="minorHAnsi"/>
          <w:bCs/>
          <w:color w:val="auto"/>
          <w:kern w:val="0"/>
          <w:lang w:val="sr-Cyrl-RS" w:eastAsia="en-US"/>
        </w:rPr>
        <w:t>: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>1.1. Правоснажна пресуда за једно или више кривичних дела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Правни основ: Члан 111. став 1. тач. 1)-Наручилац је дужан да искључи привредног субјекта из поступка јавне набавке ако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привредни субјект не докаже да он и његов законски заступник у периоду од претходних пет година од дана истека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рока за подношење понуда, односно пријава није правноснажно осуђен, осим ако правноснажном пресудом није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утврђен други период забране учешћа у поступку јавне набавке, за: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(1) кривично дело које је извршило као члан организоване криминалне групе и кривично дело удруживање ради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вршења кривичних дела;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(2) кривично дело злоупотребе положаја одговорног лица, кривично дело злоупотребе у вези са јавном набавком,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кривично дело примања мита у обављању привредне делатности, кривично дело давања мита у обављању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привредне делатности, кривично дело злоупотребе службеног положаја, кривично дело трговине утицајем,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кривично дело примања мита и кривично дело давања мита, кривично дело преваре, кривично дело неоснованог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добијања и коришћења кредита и друге погодности, кривично дело преваре у обављању привредне делатности 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кривично дело пореске утаје, кривично дело тероризма, кривично дело јавног подстицања на извршење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терористичких дела, кривично дело врбовања и обучавања за вршење терористичких дела и кривично дело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терористичког удруживања, кривично дело прања новца, кривично дело финансирања тероризма, кривично дело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трговине људима и кривично дело заснивања ропског односа и превоза лица у ропском односу.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Сматра се да привредни субјект који је уписан у регистар понуђача нема основа за искључење из члана 111. став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тач. 1) Закона о јавним набавкама.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>1.2. Порези и доприноси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Правни основ: Члан 111. став 1. тач. 2)-Наручилац је дужан да искључи привредног субјекта из поступка јавне набавке ако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привредни субјект не докаже да је измирио доспеле порезе и доприносе за обавезно социјално осигурање или да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му је обавезујућим споразумом или решењем, у складу са посебним прописом, одобрено одлагање плаћања дуга,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укључујући све настале камате и новчане казне.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Сматра се да привредни субјект који је уписан у регистар понуђача нема основа за искључење из члана 111. став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тач. 2) Закона о јавним набавкама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>1.3. Обавезе у области заштите животне средине, социјалног и радног права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Правни основ: Члан 111. став 1. тач. 3)-Наручилац је дужан да искључи привредног субјекта из поступка јавне набавке ако утврди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да је привредни субјект у периоду од претходне две године од дана истека рока за подношење понуда, односно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пријава, повредио обавезе у области заштите животне средине, социјалног и радног права, укључујући колективне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уговоре, а нарочито обавезу исплате уговорене зараде или других обавезних исплата, укључујући и обавезе у складу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с одредбама међународних конвенција које су наведене у Прилогу 8. Закона о јавним набавкама.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>1.4. Сукоб интереса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Правни основ: Члан 111. став 1. тач. 4)-Наручилац је дужан да искључи привредног субјекта из поступка јавне набавке ако постоји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сукоб интереса, у смислу Закона о јавним набавкама, који не може да се отклони другим мерама.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>1.5. Непримерен утицај на поступак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Правни основ: Члан 111. став 1. тач. 5)-Наручилац је дужан да искључи привредног субјекта из поступка јавне набавке ако утврди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да је привредни субјект покушао да изврши непримерен утицај на поступак одлучивања наручиоца или да дође до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поверљивих података који би могли да му омогуће предност у поступку јавне набавке или је доставио обмањујуће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податке који могу да утичу на одлуке које се тичу искључења привредног субјекта, избора привредног субјекта или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доделе уговора.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kern w:val="0"/>
          <w:lang w:eastAsia="en-US"/>
        </w:rPr>
      </w:pPr>
    </w:p>
    <w:p>
      <w:pPr>
        <w:pStyle w:val="ListParagraph"/>
        <w:numPr>
          <w:ilvl w:val="0"/>
          <w:numId w:val="5"/>
        </w:numPr>
        <w:tabs>
          <w:tab w:val="left" w:pos="851"/>
        </w:tabs>
        <w:spacing w:line="240" w:lineRule="auto"/>
        <w:jc w:val="both"/>
        <w:rPr>
          <w:i/>
          <w:u w:val="single"/>
          <w:lang w:val="sr-Cyrl-RS"/>
        </w:rPr>
      </w:pPr>
      <w:r>
        <w:rPr>
          <w:b/>
          <w:lang w:val="sr-Cyrl-RS"/>
        </w:rPr>
        <w:t>Испуњава критеријуме за избор привредног субјекта</w:t>
      </w:r>
      <w:r>
        <w:rPr>
          <w:b/>
        </w:rPr>
        <w:t>,</w:t>
      </w:r>
      <w:r>
        <w:rPr>
          <w:b/>
          <w:lang w:val="sr-Cyrl-RS"/>
        </w:rPr>
        <w:t xml:space="preserve"> из члана 114. става 1. тачка 1) и 3) Закона о јавним набавкама </w:t>
      </w:r>
      <w:r>
        <w:rPr>
          <w:b/>
          <w:lang w:val="sr-Cyrl-CS"/>
        </w:rPr>
        <w:t>(„Службени гласник</w:t>
      </w:r>
      <w:r>
        <w:rPr>
          <w:b/>
        </w:rPr>
        <w:t xml:space="preserve"> </w:t>
      </w:r>
      <w:r>
        <w:rPr>
          <w:b/>
          <w:lang w:val="sr-Cyrl-CS"/>
        </w:rPr>
        <w:t xml:space="preserve"> РС“, број 91/2019), </w:t>
      </w:r>
      <w:r>
        <w:rPr>
          <w:lang w:val="sr-Cyrl-CS"/>
        </w:rPr>
        <w:t xml:space="preserve">односно </w:t>
      </w:r>
      <w:r>
        <w:t>има важећу дозволу надлежног органа за обављање делатности која је предмет јавне набавке</w:t>
      </w:r>
      <w:r>
        <w:rPr>
          <w:i/>
          <w:iCs/>
          <w:lang w:val="sr-Cyrl-CS"/>
        </w:rPr>
        <w:t xml:space="preserve">, </w:t>
      </w:r>
      <w:r>
        <w:rPr>
          <w:iCs/>
          <w:lang w:val="sr-Cyrl-CS"/>
        </w:rPr>
        <w:t>односно, има</w:t>
      </w:r>
      <w:r>
        <w:rPr>
          <w:i/>
          <w:iCs/>
          <w:lang w:val="sr-Cyrl-CS"/>
        </w:rPr>
        <w:t xml:space="preserve"> </w:t>
      </w:r>
      <w:r>
        <w:rPr>
          <w:lang w:val="sr-Cyrl-RS"/>
        </w:rPr>
        <w:t>запослено или по другом основу ангажовано у складу са Законом о раду, лице</w:t>
      </w:r>
      <w:r>
        <w:rPr>
          <w:bCs/>
          <w:lang w:val="sr-Cyrl-RS"/>
        </w:rPr>
        <w:t xml:space="preserve"> са лиценцом за процену</w:t>
      </w:r>
      <w:r>
        <w:rPr>
          <w:lang w:val="sr-Cyrl-RS"/>
        </w:rPr>
        <w:t xml:space="preserve"> </w:t>
      </w:r>
      <w:r>
        <w:rPr>
          <w:bCs/>
          <w:lang w:val="sr-Cyrl-RS"/>
        </w:rPr>
        <w:t>ризика</w:t>
      </w:r>
      <w:bookmarkStart w:id="0" w:name="_GoBack"/>
      <w:bookmarkEnd w:id="0"/>
      <w:r>
        <w:rPr>
          <w:lang w:val="sr-Cyrl-RS"/>
        </w:rPr>
        <w:t xml:space="preserve"> и да </w:t>
      </w:r>
      <w:r>
        <w:rPr>
          <w:lang w:val="sr-Cyrl-RS"/>
        </w:rPr>
        <w:t>има капацитет да</w:t>
      </w:r>
      <w:r>
        <w:rPr>
          <w:lang w:val="sr-Cyrl-RS"/>
        </w:rPr>
        <w:t xml:space="preserve"> формира</w:t>
      </w:r>
      <w:r>
        <w:rPr>
          <w:lang w:val="sr-Cyrl-RS"/>
        </w:rPr>
        <w:t xml:space="preserve"> </w:t>
      </w:r>
      <w:r>
        <w:rPr>
          <w:lang w:val="sr-Cyrl-RS"/>
        </w:rPr>
        <w:t>стручни тим за израду процене,</w:t>
      </w:r>
      <w:r>
        <w:rPr>
          <w:lang w:val="sr-Cyrl-CS"/>
        </w:rPr>
        <w:t xml:space="preserve"> </w:t>
      </w:r>
      <w:r>
        <w:rPr>
          <w:lang w:val="sr-Cyrl-RS"/>
        </w:rPr>
        <w:t>који се ће састојати од стручњака по врсти делатности од значаја за заштиту и спасавање,</w:t>
      </w:r>
      <w:r>
        <w:rPr>
          <w:lang w:val="sr-Cyrl-CS"/>
        </w:rPr>
        <w:t xml:space="preserve"> </w:t>
      </w:r>
      <w:r>
        <w:rPr>
          <w:lang w:val="sr-Cyrl-RS"/>
        </w:rPr>
        <w:t>односно процену ризика.</w:t>
      </w:r>
    </w:p>
    <w:p>
      <w:pPr>
        <w:pStyle w:val="ListParagraph"/>
        <w:tabs>
          <w:tab w:val="left" w:pos="851"/>
        </w:tabs>
        <w:spacing w:line="240" w:lineRule="auto"/>
        <w:ind w:left="644"/>
        <w:jc w:val="both"/>
        <w:rPr>
          <w:i/>
          <w:u w:val="single"/>
          <w:lang w:val="sr-Cyrl-RS"/>
        </w:rPr>
      </w:pPr>
      <w:r>
        <w:rPr>
          <w:lang w:val="sr-Cyrl-RS"/>
        </w:rPr>
        <w:tab/>
      </w:r>
    </w:p>
    <w:p>
      <w:pPr>
        <w:pStyle w:val="ListParagraph"/>
        <w:tabs>
          <w:tab w:val="left" w:pos="851"/>
        </w:tabs>
        <w:spacing w:line="240" w:lineRule="auto"/>
        <w:ind w:left="644"/>
        <w:jc w:val="both"/>
        <w:rPr>
          <w:i/>
          <w:u w:val="single"/>
          <w:lang w:val="sr-Cyrl-RS"/>
        </w:rPr>
      </w:pPr>
      <w:r>
        <w:rPr>
          <w:i/>
          <w:u w:val="single"/>
          <w:lang w:val="sr-Cyrl-RS"/>
        </w:rPr>
        <w:t>Доказ:</w:t>
      </w:r>
    </w:p>
    <w:p>
      <w:pPr>
        <w:spacing w:after="120"/>
        <w:ind w:left="709" w:hanging="425"/>
        <w:jc w:val="both"/>
        <w:rPr>
          <w:lang w:val="sr-Cyrl-RS"/>
        </w:rPr>
      </w:pPr>
      <w:r>
        <w:rPr>
          <w:lang w:val="sr-Cyrl-RS"/>
        </w:rPr>
        <w:t xml:space="preserve">      Понуђач је дужан доставити фотокопију дозволе и лиценце и састав стручног тима</w:t>
      </w:r>
    </w:p>
    <w:p>
      <w:pPr>
        <w:tabs>
          <w:tab w:val="left" w:pos="1905"/>
        </w:tabs>
        <w:ind w:left="1905"/>
        <w:jc w:val="both"/>
        <w:rPr>
          <w:lang w:val="sr-Cyrl-RS"/>
        </w:rPr>
      </w:pP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</w:p>
    <w:p>
      <w:r>
        <w:rPr>
          <w:lang w:val="sr-Cyrl-RS"/>
        </w:rPr>
        <w:t xml:space="preserve">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</w:t>
      </w:r>
      <w:r>
        <w:t xml:space="preserve"> Понуђач:</w:t>
      </w:r>
    </w:p>
    <w:p/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</w:t>
      </w:r>
      <w:r>
        <w:t xml:space="preserve"> </w:t>
      </w:r>
      <w:r>
        <w:rPr>
          <w:lang w:val="sr-Cyrl-RS"/>
        </w:rPr>
        <w:t xml:space="preserve"> </w:t>
      </w:r>
      <w:r>
        <w:t xml:space="preserve">_____________________                                                        </w:t>
      </w:r>
    </w:p>
    <w:p>
      <w:pPr>
        <w:spacing w:line="240" w:lineRule="auto"/>
        <w:jc w:val="both"/>
      </w:pP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</w:p>
    <w:sectPr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A440F9F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9350E4"/>
    <w:multiLevelType w:val="hybridMultilevel"/>
    <w:tmpl w:val="EE8C180E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8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 w15:restartNumberingAfterBreak="0">
    <w:nsid w:val="661B5EB4"/>
    <w:multiLevelType w:val="hybridMultilevel"/>
    <w:tmpl w:val="1ADCB51E"/>
    <w:lvl w:ilvl="0" w:tplc="EFA66B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0F524F"/>
    <w:multiLevelType w:val="multilevel"/>
    <w:tmpl w:val="88127E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7AC53787"/>
    <w:multiLevelType w:val="hybridMultilevel"/>
    <w:tmpl w:val="ED06A9F6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7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pPr>
      <w:suppressAutoHyphens w:val="0"/>
      <w:spacing w:after="160" w:line="240" w:lineRule="auto"/>
      <w:jc w:val="both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en-US"/>
    </w:rPr>
  </w:style>
  <w:style w:type="paragraph" w:customStyle="1" w:styleId="CharCharChar2Char">
    <w:name w:val=" Char Char Char2 Char"/>
    <w:basedOn w:val="Normal"/>
    <w:pPr>
      <w:suppressAutoHyphens w:val="0"/>
      <w:spacing w:after="160" w:line="240" w:lineRule="exact"/>
    </w:pPr>
    <w:rPr>
      <w:rFonts w:ascii="Tahoma" w:eastAsia="Times New Roman" w:hAnsi="Tahoma"/>
      <w:color w:val="auto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26</cp:revision>
  <cp:lastPrinted>2022-12-20T12:00:00Z</cp:lastPrinted>
  <dcterms:created xsi:type="dcterms:W3CDTF">2021-05-24T11:53:00Z</dcterms:created>
  <dcterms:modified xsi:type="dcterms:W3CDTF">2023-06-19T13:01:00Z</dcterms:modified>
</cp:coreProperties>
</file>