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CS"/>
        </w:rPr>
      </w:pPr>
      <w:r>
        <w:rPr>
          <w:b/>
          <w:lang w:val="sr-Cyrl-CS"/>
        </w:rPr>
        <w:t>Набавка геодетских услуга</w:t>
      </w: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одзива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t>15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Технички капацитет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ТК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ВО=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одзива</w:t>
      </w:r>
    </w:p>
    <w:p>
      <w:pPr>
        <w:rPr>
          <w:b/>
          <w:lang w:val="sr-Cyrl-C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ab/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>сат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</w:t>
      </w:r>
      <w:r>
        <w:rPr>
          <w:b/>
        </w:rPr>
        <w:t>O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</w:t>
      </w:r>
      <w:r>
        <w:rPr>
          <w:b/>
          <w:lang w:val="sr-Cyrl-CS"/>
        </w:rPr>
        <w:t xml:space="preserve"> </w:t>
      </w:r>
      <w:r>
        <w:rPr>
          <w:b/>
        </w:rPr>
        <w:t>x 15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сат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ind w:right="-828"/>
        <w:jc w:val="both"/>
        <w:rPr>
          <w:b/>
          <w:lang w:val="sr-Cyrl-CS"/>
        </w:rPr>
      </w:pPr>
      <w:r>
        <w:rPr>
          <w:b/>
          <w:lang w:val="sr-Cyrl-RS"/>
        </w:rPr>
        <w:t>3. ТК= Т</w:t>
      </w:r>
      <w:r>
        <w:rPr>
          <w:b/>
          <w:lang w:val="sr-Cyrl-CS"/>
        </w:rPr>
        <w:t>ехнички капацитет</w:t>
      </w:r>
    </w:p>
    <w:p>
      <w:pPr>
        <w:rPr>
          <w:b/>
          <w:lang w:val="sr-Cyrl-CS"/>
        </w:rPr>
      </w:pPr>
    </w:p>
    <w:p>
      <w:pPr>
        <w:ind w:left="825"/>
        <w:jc w:val="both"/>
        <w:rPr>
          <w:lang w:val="sr-Cyrl-CS"/>
        </w:rPr>
      </w:pPr>
      <w:r>
        <w:rPr>
          <w:lang w:val="sr-Cyrl-CS"/>
        </w:rPr>
        <w:t xml:space="preserve">У предходне 3 године пружане геодетске услуге, чија је укупна вредност </w:t>
      </w:r>
      <w:bookmarkStart w:id="0" w:name="_GoBack"/>
      <w:bookmarkEnd w:id="0"/>
      <w:r>
        <w:rPr>
          <w:lang w:val="sr-Cyrl-CS"/>
        </w:rPr>
        <w:t>1.500.000,00 динара, без ПДВ-а --------- 5 пондера</w:t>
      </w:r>
    </w:p>
    <w:p>
      <w:pPr>
        <w:ind w:left="825"/>
        <w:rPr>
          <w:lang w:val="sr-Cyrl-CS"/>
        </w:rPr>
      </w:pPr>
    </w:p>
    <w:p>
      <w:pPr>
        <w:ind w:left="825"/>
        <w:jc w:val="both"/>
        <w:rPr>
          <w:lang w:val="sr-Cyrl-CS"/>
        </w:rPr>
      </w:pPr>
      <w:r>
        <w:rPr>
          <w:lang w:val="sr-Cyrl-CS"/>
        </w:rPr>
        <w:t>У предходне 3 године пружане геодетске услуге, чија је укупна вредност 1.000.000,00 динара, без ПДВ-а --------- 3 пондер</w:t>
      </w:r>
    </w:p>
    <w:p>
      <w:pPr>
        <w:ind w:left="840"/>
        <w:rPr>
          <w:lang w:val="sr-Cyrl-CS"/>
        </w:rPr>
      </w:pPr>
    </w:p>
    <w:p>
      <w:pPr>
        <w:ind w:left="825"/>
        <w:jc w:val="both"/>
        <w:rPr>
          <w:lang w:val="sr-Cyrl-CS"/>
        </w:rPr>
      </w:pPr>
      <w:r>
        <w:rPr>
          <w:lang w:val="sr-Cyrl-CS"/>
        </w:rPr>
        <w:t>У предходне 3 године пружане геодетске услуге, чија је укупна вредност 800.000,00 динара, без ПДВ-а --------- 1 пондер</w:t>
      </w:r>
    </w:p>
    <w:p>
      <w:pPr>
        <w:ind w:left="840"/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2022-03-17T09:03:00Z</cp:lastPrinted>
  <dcterms:created xsi:type="dcterms:W3CDTF">2020-07-21T10:04:00Z</dcterms:created>
  <dcterms:modified xsi:type="dcterms:W3CDTF">2022-03-17T09:11:00Z</dcterms:modified>
</cp:coreProperties>
</file>