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jc w:val="both"/>
        <w:rPr>
          <w:iCs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bookmarkStart w:id="0" w:name="_GoBack"/>
      <w:r>
        <w:rPr>
          <w:iCs/>
          <w:color w:val="FF0000"/>
          <w:sz w:val="23"/>
          <w:szCs w:val="23"/>
          <w:lang w:val="ru-RU"/>
        </w:rPr>
        <w:t>услуга израде Пројекта атмосферске канализације са техничком контролом</w:t>
      </w:r>
      <w:r>
        <w:rPr>
          <w:iCs/>
          <w:color w:val="FF0000"/>
          <w:sz w:val="23"/>
          <w:szCs w:val="23"/>
          <w:lang w:val="ru-RU"/>
        </w:rPr>
        <w:t xml:space="preserve"> </w:t>
      </w:r>
      <w:r>
        <w:rPr>
          <w:iCs/>
          <w:color w:val="FF0000"/>
          <w:sz w:val="23"/>
          <w:szCs w:val="23"/>
          <w:lang w:val="ru-RU"/>
        </w:rPr>
        <w:t>и Пројекта за извођење</w:t>
      </w:r>
      <w:r>
        <w:rPr>
          <w:iCs/>
          <w:color w:val="FF0000"/>
          <w:sz w:val="23"/>
          <w:szCs w:val="23"/>
          <w:lang w:val="ru-RU"/>
        </w:rPr>
        <w:t xml:space="preserve"> </w:t>
      </w:r>
      <w:r>
        <w:rPr>
          <w:color w:val="FF0000"/>
          <w:sz w:val="23"/>
          <w:szCs w:val="23"/>
          <w:lang w:val="sr-Cyrl-RS"/>
        </w:rPr>
        <w:t>за реконструкцију дела Карађорђеве улице и дела улице Олге Грбић у Косјерићу</w:t>
      </w:r>
      <w:r>
        <w:rPr>
          <w:color w:val="FF0000"/>
          <w:lang w:val="sr-Cyrl-RS"/>
        </w:rPr>
        <w:t>:</w:t>
      </w:r>
      <w:bookmarkEnd w:id="0"/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</w:t>
      </w:r>
      <w:r>
        <w:t>;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избор привредног субјекта</w:t>
      </w:r>
      <w:r>
        <w:t>,</w:t>
      </w:r>
      <w:r>
        <w:rPr>
          <w:lang w:val="sr-Cyrl-RS"/>
        </w:rPr>
        <w:t xml:space="preserve"> из члана 114.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и то:</w:t>
      </w:r>
    </w:p>
    <w:p>
      <w:pPr>
        <w:tabs>
          <w:tab w:val="left" w:pos="709"/>
        </w:tabs>
        <w:spacing w:line="240" w:lineRule="auto"/>
        <w:jc w:val="both"/>
      </w:pPr>
    </w:p>
    <w:p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 Понуђач испуњава технички и стручни капацитет и располаже довољним кадровским капацитетом, односно, има радно анагажовано по било ком основу, у складу са одредбама закона којим се уређују права, обавезе и одговорности из радног односа најмање </w:t>
      </w:r>
      <w:r>
        <w:rPr>
          <w:color w:val="auto"/>
          <w:lang w:val="sr-Cyrl-CS"/>
        </w:rPr>
        <w:t>једног одговорног пројектанта дипломираног инжењера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Cyrl-CS"/>
        </w:rPr>
        <w:t xml:space="preserve">са лиценцом </w:t>
      </w:r>
      <w:r>
        <w:t>3</w:t>
      </w:r>
      <w:r>
        <w:rPr>
          <w:lang w:val="sr-Cyrl-RS"/>
        </w:rPr>
        <w:t>14</w:t>
      </w:r>
      <w:r>
        <w:rPr>
          <w:color w:val="auto"/>
          <w:lang w:val="sr-Cyrl-CS"/>
        </w:rPr>
        <w:t xml:space="preserve"> Инжењерске коморе Србије </w:t>
      </w:r>
      <w:r>
        <w:rPr>
          <w:lang w:val="sr-Cyrl-RS"/>
        </w:rPr>
        <w:t>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color w:val="auto"/>
          <w:lang w:val="sr-Cyrl-CS"/>
        </w:rPr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>Доказ: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color w:val="auto"/>
          <w:lang w:val="sr-Cyrl-CS"/>
        </w:rPr>
      </w:pPr>
      <w:r>
        <w:rPr>
          <w:lang w:val="sr-Cyrl-RS"/>
        </w:rPr>
        <w:t>Фотокопија лиценце 314 или еквивалентних лиценци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  <w:r>
        <w:rPr>
          <w:lang w:val="sr-Cyrl-RS"/>
        </w:rPr>
        <w:t>оверена својеручним потписом и печетом имаоца лиценце (потврда и печат нису обавезни).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8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0F524F"/>
    <w:multiLevelType w:val="multilevel"/>
    <w:tmpl w:val="88127E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32</cp:revision>
  <cp:lastPrinted>2021-05-12T07:51:00Z</cp:lastPrinted>
  <dcterms:created xsi:type="dcterms:W3CDTF">2021-05-24T11:53:00Z</dcterms:created>
  <dcterms:modified xsi:type="dcterms:W3CDTF">2023-05-15T13:21:00Z</dcterms:modified>
</cp:coreProperties>
</file>