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ОБРАЗАЦ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СТРУКТУРЕ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ЦЕНЕ СА УПУТСТВОМ КАКО ДА СЕ ПОПУНИ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Набавка радова на крпљењу ударних рупа на </w:t>
      </w:r>
      <w:r>
        <w:rPr>
          <w:rFonts w:ascii="Times New Roman" w:hAnsi="Times New Roman" w:cs="Times New Roman"/>
          <w:b/>
          <w:bCs/>
          <w:lang w:val="sr-Cyrl-CS"/>
        </w:rPr>
        <w:t xml:space="preserve">путевима и улицама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 територији општине Косјерић</w:t>
      </w:r>
    </w:p>
    <w:p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559"/>
        <w:gridCol w:w="1418"/>
        <w:gridCol w:w="1559"/>
        <w:gridCol w:w="1559"/>
      </w:tblGrid>
      <w:tr>
        <w:tc>
          <w:tcPr>
            <w:tcW w:w="609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CS"/>
              </w:rPr>
              <w:t>(tona)</w:t>
            </w:r>
          </w:p>
          <w:p>
            <w:pPr>
              <w:pStyle w:val="TableContents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</w:tr>
      <w:tr>
        <w:trPr>
          <w:trHeight w:val="155"/>
        </w:trPr>
        <w:tc>
          <w:tcPr>
            <w:tcW w:w="609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6095" w:type="dxa"/>
            <w:shd w:val="clear" w:color="auto" w:fill="auto"/>
          </w:tcPr>
          <w:p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Крпљење ударних рупа врућом асфалтном масом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АБ11 просечне дебљине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, са машинским опсецањем ударних рупа,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уклањањем вишка материјала са утоваром и одвозом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материјала на СТД =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km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, издувавањем компримованим ваздухом, премазивањем хоризонталних и вертикалних спојева битуменском емулзијом KN 65 (300g/m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). Затварање ударне рупе извршити непосредно након њене припреме, а најкасније у року од 24 сата. По завршеној уградњи асфалта додатно премазати ивице рупе (спој новог и старог асфалта) битуменском емулзијом.</w:t>
            </w:r>
          </w:p>
          <w:p>
            <w:pPr>
              <w:pStyle w:val="TableContents"/>
              <w:spacing w:line="240" w:lineRule="auto"/>
              <w:jc w:val="both"/>
              <w:rPr>
                <w:iCs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140</w:t>
            </w:r>
            <w:bookmarkStart w:id="0" w:name="_GoBack"/>
            <w:bookmarkEnd w:id="0"/>
          </w:p>
          <w:p>
            <w:pPr>
              <w:pStyle w:val="TableContents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</w:tr>
    </w:tbl>
    <w:p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>
      <w:pPr>
        <w:ind w:left="360" w:firstLine="348"/>
        <w:jc w:val="both"/>
        <w:rPr>
          <w:rFonts w:ascii="Times New Roman" w:hAnsi="Times New Roman" w:cs="Times New Roman"/>
          <w:bCs/>
          <w:iCs/>
          <w:color w:val="002060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Упутство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попуњавање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обрасца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структуре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цене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3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јединична</w:t>
      </w:r>
      <w:proofErr w:type="spellEnd"/>
      <w:r>
        <w:rPr>
          <w:bCs/>
          <w:iCs/>
          <w:sz w:val="22"/>
          <w:szCs w:val="22"/>
        </w:rPr>
        <w:t xml:space="preserve"> цена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R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4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  <w:lang w:val="sr-Cyrl-RS"/>
        </w:rPr>
        <w:t xml:space="preserve"> јединична цена са ПДВ</w:t>
      </w:r>
      <w:r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  <w:lang w:val="sr-Cyrl-RS"/>
        </w:rPr>
        <w:t xml:space="preserve">ом, 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 xml:space="preserve">у колони 5 уписати </w:t>
      </w:r>
      <w:r>
        <w:rPr>
          <w:bCs/>
          <w:iCs/>
          <w:sz w:val="22"/>
          <w:szCs w:val="22"/>
        </w:rPr>
        <w:t>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и то тако што ће помножити јединичну цену </w:t>
      </w:r>
      <w:proofErr w:type="spellStart"/>
      <w:r>
        <w:rPr>
          <w:bCs/>
          <w:iCs/>
          <w:sz w:val="22"/>
          <w:szCs w:val="22"/>
        </w:rPr>
        <w:t>без</w:t>
      </w:r>
      <w:proofErr w:type="spellEnd"/>
      <w:r>
        <w:rPr>
          <w:bCs/>
          <w:iCs/>
          <w:sz w:val="22"/>
          <w:szCs w:val="22"/>
        </w:rPr>
        <w:t xml:space="preserve"> ПДВ-а (</w:t>
      </w:r>
      <w:proofErr w:type="spellStart"/>
      <w:r>
        <w:rPr>
          <w:bCs/>
          <w:iCs/>
          <w:sz w:val="22"/>
          <w:szCs w:val="22"/>
        </w:rPr>
        <w:t>наведену</w:t>
      </w:r>
      <w:proofErr w:type="spellEnd"/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sz w:val="22"/>
          <w:szCs w:val="22"/>
        </w:rPr>
        <w:t>колони</w:t>
      </w:r>
      <w:proofErr w:type="spellEnd"/>
      <w:r>
        <w:rPr>
          <w:bCs/>
          <w:iCs/>
          <w:sz w:val="22"/>
          <w:szCs w:val="22"/>
        </w:rPr>
        <w:t xml:space="preserve"> 3) </w:t>
      </w:r>
      <w:proofErr w:type="spellStart"/>
      <w:r>
        <w:rPr>
          <w:bCs/>
          <w:iCs/>
          <w:sz w:val="22"/>
          <w:szCs w:val="22"/>
        </w:rPr>
        <w:t>са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траженим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количинама</w:t>
      </w:r>
      <w:proofErr w:type="spellEnd"/>
      <w:r>
        <w:rPr>
          <w:bCs/>
          <w:iCs/>
          <w:sz w:val="22"/>
          <w:szCs w:val="22"/>
        </w:rPr>
        <w:t xml:space="preserve"> (</w:t>
      </w:r>
      <w:proofErr w:type="spellStart"/>
      <w:r>
        <w:rPr>
          <w:bCs/>
          <w:iCs/>
          <w:sz w:val="22"/>
          <w:szCs w:val="22"/>
        </w:rPr>
        <w:t>које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наведене</w:t>
      </w:r>
      <w:proofErr w:type="spellEnd"/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color w:val="auto"/>
          <w:sz w:val="22"/>
          <w:szCs w:val="22"/>
        </w:rPr>
        <w:t>колони</w:t>
      </w:r>
      <w:proofErr w:type="spellEnd"/>
      <w:r>
        <w:rPr>
          <w:bCs/>
          <w:iCs/>
          <w:color w:val="auto"/>
          <w:sz w:val="22"/>
          <w:szCs w:val="22"/>
        </w:rPr>
        <w:t xml:space="preserve"> 2);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6 уписати колико износи укупна цена са ПДВ-ом и то</w:t>
      </w:r>
      <w:r>
        <w:rPr>
          <w:bCs/>
          <w:iCs/>
          <w:lang w:val="sr-Cyrl-RS"/>
        </w:rPr>
        <w:t xml:space="preserve"> </w:t>
      </w:r>
      <w:r>
        <w:rPr>
          <w:bCs/>
          <w:iCs/>
        </w:rPr>
        <w:t xml:space="preserve">тако што ће помножити јединичну цену </w:t>
      </w:r>
      <w:r>
        <w:rPr>
          <w:bCs/>
          <w:iCs/>
          <w:lang w:val="sr-Cyrl-RS"/>
        </w:rPr>
        <w:t>са</w:t>
      </w:r>
      <w:r>
        <w:rPr>
          <w:bCs/>
          <w:iCs/>
        </w:rPr>
        <w:t xml:space="preserve"> ПДВ-</w:t>
      </w:r>
      <w:r>
        <w:rPr>
          <w:bCs/>
          <w:iCs/>
          <w:lang w:val="sr-Cyrl-RS"/>
        </w:rPr>
        <w:t>ом</w:t>
      </w:r>
      <w:r>
        <w:rPr>
          <w:bCs/>
          <w:iCs/>
        </w:rPr>
        <w:t xml:space="preserve"> (наведену у колони </w:t>
      </w:r>
      <w:r>
        <w:rPr>
          <w:bCs/>
          <w:iCs/>
          <w:lang w:val="sr-Cyrl-RS"/>
        </w:rPr>
        <w:t>4</w:t>
      </w:r>
      <w:r>
        <w:rPr>
          <w:bCs/>
          <w:iCs/>
        </w:rPr>
        <w:t xml:space="preserve">) са траженим </w:t>
      </w:r>
      <w:proofErr w:type="spellStart"/>
      <w:r>
        <w:rPr>
          <w:bCs/>
          <w:iCs/>
        </w:rPr>
        <w:t>количинама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које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наведене</w:t>
      </w:r>
      <w:proofErr w:type="spellEnd"/>
      <w:r>
        <w:rPr>
          <w:bCs/>
          <w:iCs/>
        </w:rPr>
        <w:t xml:space="preserve"> у </w:t>
      </w:r>
      <w:proofErr w:type="spellStart"/>
      <w:r>
        <w:rPr>
          <w:bCs/>
          <w:iCs/>
        </w:rPr>
        <w:t>колони</w:t>
      </w:r>
      <w:proofErr w:type="spellEnd"/>
      <w:r>
        <w:rPr>
          <w:bCs/>
          <w:iCs/>
        </w:rPr>
        <w:t xml:space="preserve"> 2)</w:t>
      </w:r>
      <w:r>
        <w:rPr>
          <w:bCs/>
          <w:iCs/>
          <w:lang w:val="sr-Cyrl-RS"/>
        </w:rPr>
        <w:t xml:space="preserve">  </w:t>
      </w:r>
    </w:p>
    <w:p>
      <w:pPr>
        <w:tabs>
          <w:tab w:val="left" w:pos="90"/>
        </w:tabs>
        <w:jc w:val="both"/>
      </w:pPr>
    </w:p>
    <w:p>
      <w:pPr>
        <w:tabs>
          <w:tab w:val="left" w:pos="90"/>
        </w:tabs>
        <w:jc w:val="both"/>
      </w:pPr>
    </w:p>
    <w:tbl>
      <w:tblPr>
        <w:tblW w:w="1389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939"/>
        <w:gridCol w:w="6983"/>
        <w:gridCol w:w="3969"/>
      </w:tblGrid>
      <w:tr>
        <w:tc>
          <w:tcPr>
            <w:tcW w:w="2939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</w:t>
            </w:r>
          </w:p>
        </w:tc>
        <w:tc>
          <w:tcPr>
            <w:tcW w:w="6983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both"/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  <w:tr>
        <w:tc>
          <w:tcPr>
            <w:tcW w:w="293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6983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>
      <w:pgSz w:w="16838" w:h="11906" w:orient="landscape"/>
      <w:pgMar w:top="15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348"/>
        </w:tabs>
        <w:ind w:left="1068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pPr>
      <w:widowControl/>
      <w:suppressAutoHyphens/>
      <w:autoSpaceDE/>
      <w:autoSpaceDN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autoSpaceDE/>
      <w:autoSpaceDN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2018-04-13T11:52:00Z</dcterms:created>
  <dcterms:modified xsi:type="dcterms:W3CDTF">2023-04-03T12:57:00Z</dcterms:modified>
</cp:coreProperties>
</file>