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bCs/>
          <w:lang w:val="sr-Cyrl-RS"/>
        </w:rPr>
      </w:pPr>
    </w:p>
    <w:p>
      <w:pPr>
        <w:spacing w:line="240" w:lineRule="auto"/>
        <w:jc w:val="center"/>
        <w:rPr>
          <w:b/>
          <w:bCs/>
          <w:lang w:val="sr-Cyrl-RS"/>
        </w:rPr>
      </w:pPr>
      <w:r>
        <w:rPr>
          <w:b/>
          <w:bCs/>
        </w:rPr>
        <w:t xml:space="preserve">ИЗЈАВА </w:t>
      </w:r>
      <w:r>
        <w:rPr>
          <w:b/>
          <w:bCs/>
          <w:lang w:val="sr-Cyrl-RS"/>
        </w:rPr>
        <w:t>ПОНУЂАЧА</w:t>
      </w:r>
    </w:p>
    <w:p>
      <w:pPr>
        <w:tabs>
          <w:tab w:val="left" w:pos="1005"/>
        </w:tabs>
        <w:spacing w:line="240" w:lineRule="auto"/>
        <w:jc w:val="center"/>
        <w:rPr>
          <w:b/>
          <w:lang w:val="sr-Cyrl-RS"/>
        </w:rPr>
      </w:pPr>
      <w:r>
        <w:rPr>
          <w:b/>
          <w:bCs/>
        </w:rPr>
        <w:t xml:space="preserve">О ИСПУЊАВАЊУ </w:t>
      </w:r>
      <w:r>
        <w:rPr>
          <w:b/>
          <w:lang w:val="sr-Cyrl-RS"/>
        </w:rPr>
        <w:t>КРИТЕРИЈУМА</w:t>
      </w:r>
    </w:p>
    <w:p>
      <w:pPr>
        <w:tabs>
          <w:tab w:val="left" w:pos="1005"/>
        </w:tabs>
        <w:spacing w:line="240" w:lineRule="auto"/>
        <w:jc w:val="center"/>
        <w:rPr>
          <w:b/>
          <w:iCs/>
          <w:lang w:val="sr-Cyrl-RS"/>
        </w:rPr>
      </w:pPr>
      <w:r>
        <w:rPr>
          <w:b/>
          <w:lang w:val="sr-Cyrl-RS"/>
        </w:rPr>
        <w:t xml:space="preserve"> ИЗ ЧЛАНА 111. СТАВА 1. ЗАКОНА О ЈАВНИМ НАБАВКАМА </w:t>
      </w:r>
    </w:p>
    <w:p>
      <w:pPr>
        <w:jc w:val="center"/>
        <w:rPr>
          <w:b/>
          <w:bCs/>
          <w:lang w:val="sr-Cyrl-RS"/>
        </w:rPr>
      </w:pPr>
    </w:p>
    <w:p>
      <w:pPr>
        <w:jc w:val="center"/>
        <w:rPr>
          <w:b/>
          <w:bCs/>
          <w:lang w:val="sr-Cyrl-RS"/>
        </w:rPr>
      </w:pPr>
    </w:p>
    <w:p>
      <w:pPr>
        <w:ind w:firstLine="708"/>
        <w:jc w:val="both"/>
      </w:pPr>
      <w:r>
        <w:t xml:space="preserve">У складу са чланом </w:t>
      </w:r>
      <w:r>
        <w:rPr>
          <w:lang w:val="sr-Cyrl-RS"/>
        </w:rPr>
        <w:t>111.</w:t>
      </w:r>
      <w:r>
        <w:t xml:space="preserve"> став </w:t>
      </w:r>
      <w:r>
        <w:rPr>
          <w:lang w:val="sr-Cyrl-RS"/>
        </w:rPr>
        <w:t>1</w:t>
      </w:r>
      <w:r>
        <w:t>.</w:t>
      </w:r>
      <w:r>
        <w:rPr>
          <w:lang w:val="sr-Cyrl-RS"/>
        </w:rPr>
        <w:t xml:space="preserve"> Закона о јавним набавкама </w:t>
      </w:r>
      <w:r>
        <w:rPr>
          <w:lang w:val="sr-Cyrl-CS"/>
        </w:rPr>
        <w:t>(„Службени гласник</w:t>
      </w:r>
      <w:r>
        <w:t xml:space="preserve"> </w:t>
      </w:r>
      <w:r>
        <w:rPr>
          <w:lang w:val="sr-Cyrl-CS"/>
        </w:rPr>
        <w:t xml:space="preserve"> РС“, број 91/2019)</w:t>
      </w:r>
      <w:r>
        <w:t xml:space="preserve">, под пуном материјалном и кривичном одговорношћу, </w:t>
      </w:r>
      <w:r>
        <w:rPr>
          <w:lang w:val="sr-Cyrl-CS"/>
        </w:rPr>
        <w:t xml:space="preserve">као заступник понуђача, </w:t>
      </w:r>
      <w:r>
        <w:t>дајем следећу</w:t>
      </w:r>
    </w:p>
    <w:p>
      <w:pPr>
        <w:jc w:val="both"/>
      </w:pPr>
      <w:r>
        <w:tab/>
      </w:r>
      <w:r>
        <w:tab/>
      </w:r>
      <w:r>
        <w:tab/>
      </w:r>
    </w:p>
    <w:p>
      <w:pPr>
        <w:jc w:val="center"/>
        <w:rPr>
          <w:b/>
        </w:rPr>
      </w:pPr>
      <w:r>
        <w:rPr>
          <w:b/>
        </w:rPr>
        <w:t>И З Ј А В У</w:t>
      </w:r>
      <w:bookmarkStart w:id="0" w:name="_GoBack"/>
      <w:bookmarkEnd w:id="0"/>
    </w:p>
    <w:p>
      <w:pPr>
        <w:jc w:val="center"/>
      </w:pPr>
    </w:p>
    <w:p>
      <w:pPr>
        <w:ind w:left="-142" w:firstLine="850"/>
        <w:jc w:val="both"/>
        <w:rPr>
          <w:i/>
          <w:lang w:val="sr-Cyrl-RS"/>
        </w:rPr>
      </w:pPr>
      <w:r>
        <w:rPr>
          <w:lang w:val="sr-Cyrl-CS"/>
        </w:rPr>
        <w:t>П</w:t>
      </w:r>
      <w:r>
        <w:t>онуђач</w:t>
      </w:r>
      <w:r>
        <w:rPr>
          <w:lang w:val="sr-Cyrl-RS"/>
        </w:rPr>
        <w:t xml:space="preserve"> </w:t>
      </w:r>
      <w:r>
        <w:rPr>
          <w:i/>
          <w:lang w:val="sr-Cyrl-RS"/>
        </w:rPr>
        <w:t xml:space="preserve"> _____________________________________________________________</w:t>
      </w:r>
    </w:p>
    <w:p>
      <w:pPr>
        <w:ind w:left="-142"/>
        <w:jc w:val="both"/>
        <w:rPr>
          <w:lang w:val="sr-Cyrl-RS"/>
        </w:rPr>
      </w:pPr>
      <w:r>
        <w:rPr>
          <w:i/>
          <w:iCs/>
        </w:rPr>
        <w:t>[</w:t>
      </w:r>
      <w:r>
        <w:rPr>
          <w:i/>
        </w:rPr>
        <w:t xml:space="preserve">навести </w:t>
      </w:r>
      <w:r>
        <w:rPr>
          <w:i/>
          <w:lang w:val="sr-Cyrl-RS"/>
        </w:rPr>
        <w:t>назив понуђача</w:t>
      </w:r>
      <w:r>
        <w:rPr>
          <w:i/>
          <w:iCs/>
        </w:rPr>
        <w:t>]</w:t>
      </w:r>
      <w:r>
        <w:rPr>
          <w:i/>
          <w:lang w:val="sr-Cyrl-CS"/>
        </w:rPr>
        <w:t xml:space="preserve"> </w:t>
      </w:r>
      <w:r>
        <w:t>у поступку набавке</w:t>
      </w:r>
      <w:r>
        <w:rPr>
          <w:lang w:val="sr-Cyrl-CS"/>
        </w:rPr>
        <w:t xml:space="preserve"> на који се Закон о јавним набавкама не примењује</w:t>
      </w:r>
      <w:r>
        <w:rPr>
          <w:iCs/>
          <w:lang w:val="sr-Cyrl-RS"/>
        </w:rPr>
        <w:t xml:space="preserve">, на основу </w:t>
      </w:r>
      <w:r>
        <w:rPr>
          <w:color w:val="44546A" w:themeColor="text2"/>
          <w:lang w:val="sr-Cyrl-CS"/>
        </w:rPr>
        <w:t xml:space="preserve">члана 27. став 1. тачка 1) и члана 91. Закона о јавним набавкама </w:t>
      </w:r>
      <w:r>
        <w:rPr>
          <w:b/>
          <w:color w:val="44546A" w:themeColor="text2"/>
          <w:lang w:val="sr-Cyrl-CS"/>
        </w:rPr>
        <w:t>(</w:t>
      </w:r>
      <w:r>
        <w:rPr>
          <w:color w:val="44546A" w:themeColor="text2"/>
          <w:lang w:val="sr-Cyrl-CS"/>
        </w:rPr>
        <w:t>„Службени гласник РС“</w:t>
      </w:r>
      <w:r>
        <w:rPr>
          <w:color w:val="44546A" w:themeColor="text2"/>
        </w:rPr>
        <w:t>,</w:t>
      </w:r>
      <w:r>
        <w:rPr>
          <w:color w:val="44546A" w:themeColor="text2"/>
          <w:lang w:val="sr-Cyrl-CS"/>
        </w:rPr>
        <w:t xml:space="preserve"> број </w:t>
      </w:r>
      <w:r>
        <w:rPr>
          <w:color w:val="44546A" w:themeColor="text2"/>
        </w:rPr>
        <w:t>91/2019</w:t>
      </w:r>
      <w:r>
        <w:rPr>
          <w:color w:val="44546A" w:themeColor="text2"/>
          <w:lang w:val="sr-Cyrl-CS"/>
        </w:rPr>
        <w:t>) - н</w:t>
      </w:r>
      <w:r>
        <w:rPr>
          <w:lang w:val="sr-Cyrl-CS"/>
        </w:rPr>
        <w:t>а</w:t>
      </w:r>
      <w:r>
        <w:t>бавк</w:t>
      </w:r>
      <w:r>
        <w:rPr>
          <w:lang w:val="sr-Cyrl-CS"/>
        </w:rPr>
        <w:t>а</w:t>
      </w:r>
      <w:r>
        <w:rPr>
          <w:lang w:val="sr-Cyrl-RS"/>
        </w:rPr>
        <w:t xml:space="preserve"> </w:t>
      </w:r>
      <w:r>
        <w:rPr>
          <w:iCs/>
          <w:lang w:val="sr-Cyrl-RS"/>
        </w:rPr>
        <w:t>услуга превоза јаловине сепарисане ризле за потребе насипања путева на триторији општине Косјерић,</w:t>
      </w:r>
      <w:r>
        <w:rPr>
          <w:iCs/>
        </w:rPr>
        <w:t xml:space="preserve"> </w:t>
      </w:r>
      <w:r>
        <w:rPr>
          <w:iCs/>
          <w:lang w:val="sr-Cyrl-RS"/>
        </w:rPr>
        <w:t>и</w:t>
      </w:r>
      <w:r>
        <w:rPr>
          <w:lang w:val="sr-Cyrl-RS"/>
        </w:rPr>
        <w:t>спуњава критеријуме за квалитативни избор привредног субјекта</w:t>
      </w:r>
      <w:r>
        <w:t>,</w:t>
      </w:r>
      <w:r>
        <w:rPr>
          <w:lang w:val="sr-Cyrl-RS"/>
        </w:rPr>
        <w:t xml:space="preserve"> из члана 111. става 1. Закона о јавним набавкама </w:t>
      </w:r>
      <w:r>
        <w:rPr>
          <w:lang w:val="sr-Cyrl-CS"/>
        </w:rPr>
        <w:t>(„Службени гласник</w:t>
      </w:r>
      <w:r>
        <w:t xml:space="preserve"> </w:t>
      </w:r>
      <w:r>
        <w:rPr>
          <w:lang w:val="sr-Cyrl-CS"/>
        </w:rPr>
        <w:t xml:space="preserve"> РС“, број 91/2019)</w:t>
      </w:r>
      <w:r>
        <w:rPr>
          <w:lang w:val="sr-Cyrl-RS"/>
        </w:rPr>
        <w:t xml:space="preserve"> и нема основа за искључење из поступка набавке.</w:t>
      </w:r>
    </w:p>
    <w:p>
      <w:pPr>
        <w:ind w:left="-142"/>
        <w:jc w:val="both"/>
        <w:rPr>
          <w:lang w:val="sr-Cyrl-RS"/>
        </w:rPr>
      </w:pPr>
    </w:p>
    <w:p>
      <w:pPr>
        <w:suppressAutoHyphens w:val="0"/>
        <w:autoSpaceDE w:val="0"/>
        <w:autoSpaceDN w:val="0"/>
        <w:adjustRightInd w:val="0"/>
        <w:spacing w:line="240" w:lineRule="auto"/>
        <w:ind w:firstLine="708"/>
        <w:rPr>
          <w:rFonts w:eastAsiaTheme="minorHAnsi"/>
          <w:b/>
          <w:bCs/>
          <w:color w:val="auto"/>
          <w:kern w:val="0"/>
          <w:lang w:eastAsia="en-US"/>
        </w:rPr>
      </w:pPr>
      <w:r>
        <w:rPr>
          <w:rFonts w:eastAsiaTheme="minorHAnsi"/>
          <w:b/>
          <w:bCs/>
          <w:color w:val="auto"/>
          <w:kern w:val="0"/>
          <w:lang w:eastAsia="en-US"/>
        </w:rPr>
        <w:t>1. Основи за искључење</w:t>
      </w:r>
    </w:p>
    <w:p>
      <w:pPr>
        <w:suppressAutoHyphens w:val="0"/>
        <w:autoSpaceDE w:val="0"/>
        <w:autoSpaceDN w:val="0"/>
        <w:adjustRightInd w:val="0"/>
        <w:spacing w:line="240" w:lineRule="auto"/>
        <w:ind w:firstLine="708"/>
        <w:rPr>
          <w:rFonts w:eastAsiaTheme="minorHAnsi"/>
          <w:b/>
          <w:bCs/>
          <w:color w:val="auto"/>
          <w:kern w:val="0"/>
          <w:lang w:eastAsia="en-US"/>
        </w:rPr>
      </w:pPr>
      <w:r>
        <w:rPr>
          <w:rFonts w:eastAsiaTheme="minorHAnsi"/>
          <w:b/>
          <w:bCs/>
          <w:color w:val="auto"/>
          <w:kern w:val="0"/>
          <w:lang w:eastAsia="en-US"/>
        </w:rPr>
        <w:t>1.1. Правоснажна пресуда за једно или више кривичних дела</w:t>
      </w:r>
    </w:p>
    <w:p>
      <w:pPr>
        <w:suppressAutoHyphens w:val="0"/>
        <w:autoSpaceDE w:val="0"/>
        <w:autoSpaceDN w:val="0"/>
        <w:adjustRightInd w:val="0"/>
        <w:spacing w:line="240" w:lineRule="auto"/>
        <w:ind w:firstLine="708"/>
        <w:jc w:val="both"/>
        <w:rPr>
          <w:rFonts w:eastAsiaTheme="minorHAnsi"/>
          <w:color w:val="auto"/>
          <w:kern w:val="0"/>
          <w:lang w:eastAsia="en-US"/>
        </w:rPr>
      </w:pPr>
      <w:r>
        <w:rPr>
          <w:rFonts w:eastAsiaTheme="minorHAnsi"/>
          <w:color w:val="auto"/>
          <w:kern w:val="0"/>
          <w:lang w:eastAsia="en-US"/>
        </w:rPr>
        <w:t>Правни основ: Члан 111. став 1. тач. 1)-Наручилац је дужан да искључи привредног субјекта из поступка јавне набавке ако</w:t>
      </w:r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r>
        <w:rPr>
          <w:rFonts w:eastAsiaTheme="minorHAnsi"/>
          <w:color w:val="auto"/>
          <w:kern w:val="0"/>
          <w:lang w:eastAsia="en-US"/>
        </w:rPr>
        <w:t>привредни субјект не докаже да он и његов законски заступник у периоду од претходних пет година од дана истека</w:t>
      </w:r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r>
        <w:rPr>
          <w:rFonts w:eastAsiaTheme="minorHAnsi"/>
          <w:color w:val="auto"/>
          <w:kern w:val="0"/>
          <w:lang w:eastAsia="en-US"/>
        </w:rPr>
        <w:t>рока за подношење понуда, односно пријава није правноснажно осуђен, осим ако правноснажном пресудом није</w:t>
      </w:r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r>
        <w:rPr>
          <w:rFonts w:eastAsiaTheme="minorHAnsi"/>
          <w:color w:val="auto"/>
          <w:kern w:val="0"/>
          <w:lang w:eastAsia="en-US"/>
        </w:rPr>
        <w:t>утврђен други период забране учешћа у поступку јавне набавке, за:</w:t>
      </w:r>
    </w:p>
    <w:p>
      <w:pPr>
        <w:suppressAutoHyphens w:val="0"/>
        <w:autoSpaceDE w:val="0"/>
        <w:autoSpaceDN w:val="0"/>
        <w:adjustRightInd w:val="0"/>
        <w:spacing w:line="240" w:lineRule="auto"/>
        <w:ind w:firstLine="708"/>
        <w:jc w:val="both"/>
        <w:rPr>
          <w:rFonts w:eastAsiaTheme="minorHAnsi"/>
          <w:color w:val="auto"/>
          <w:kern w:val="0"/>
          <w:lang w:eastAsia="en-US"/>
        </w:rPr>
      </w:pPr>
      <w:r>
        <w:rPr>
          <w:rFonts w:eastAsiaTheme="minorHAnsi"/>
          <w:color w:val="auto"/>
          <w:kern w:val="0"/>
          <w:lang w:eastAsia="en-US"/>
        </w:rPr>
        <w:t>(1) кривично дело које је извршило као члан организоване криминалне групе и кривично дело удруживање ради</w:t>
      </w:r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r>
        <w:rPr>
          <w:rFonts w:eastAsiaTheme="minorHAnsi"/>
          <w:color w:val="auto"/>
          <w:kern w:val="0"/>
          <w:lang w:eastAsia="en-US"/>
        </w:rPr>
        <w:t>вршења кривичних дела;</w:t>
      </w:r>
    </w:p>
    <w:p>
      <w:pPr>
        <w:suppressAutoHyphens w:val="0"/>
        <w:autoSpaceDE w:val="0"/>
        <w:autoSpaceDN w:val="0"/>
        <w:adjustRightInd w:val="0"/>
        <w:spacing w:line="240" w:lineRule="auto"/>
        <w:ind w:firstLine="708"/>
        <w:jc w:val="both"/>
        <w:rPr>
          <w:rFonts w:eastAsiaTheme="minorHAnsi"/>
          <w:color w:val="auto"/>
          <w:kern w:val="0"/>
          <w:lang w:eastAsia="en-US"/>
        </w:rPr>
      </w:pPr>
      <w:r>
        <w:rPr>
          <w:rFonts w:eastAsiaTheme="minorHAnsi"/>
          <w:color w:val="auto"/>
          <w:kern w:val="0"/>
          <w:lang w:eastAsia="en-US"/>
        </w:rPr>
        <w:t>(2) кривично дело злоупотребе положаја одговорног лица, кривично дело злоупотребе у вези са јавном набавком,</w:t>
      </w:r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r>
        <w:rPr>
          <w:rFonts w:eastAsiaTheme="minorHAnsi"/>
          <w:color w:val="auto"/>
          <w:kern w:val="0"/>
          <w:lang w:eastAsia="en-US"/>
        </w:rPr>
        <w:t>кривично дело примања мита у обављању привредне делатности, кривично дело давања мита у обављању</w:t>
      </w:r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r>
        <w:rPr>
          <w:rFonts w:eastAsiaTheme="minorHAnsi"/>
          <w:color w:val="auto"/>
          <w:kern w:val="0"/>
          <w:lang w:eastAsia="en-US"/>
        </w:rPr>
        <w:t>привредне делатности, кривично дело злоупотребе службеног положаја, кривично дело трговине утицајем,</w:t>
      </w:r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r>
        <w:rPr>
          <w:rFonts w:eastAsiaTheme="minorHAnsi"/>
          <w:color w:val="auto"/>
          <w:kern w:val="0"/>
          <w:lang w:eastAsia="en-US"/>
        </w:rPr>
        <w:t>кривично дело примања мита и кривично дело давања мита, кривично дело преваре, кривично дело неоснованог</w:t>
      </w:r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r>
        <w:rPr>
          <w:rFonts w:eastAsiaTheme="minorHAnsi"/>
          <w:color w:val="auto"/>
          <w:kern w:val="0"/>
          <w:lang w:eastAsia="en-US"/>
        </w:rPr>
        <w:t>добијања и коришћења кредита и друге погодности, кривично дело преваре у обављању привредне делатности и</w:t>
      </w:r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r>
        <w:rPr>
          <w:rFonts w:eastAsiaTheme="minorHAnsi"/>
          <w:color w:val="auto"/>
          <w:kern w:val="0"/>
          <w:lang w:eastAsia="en-US"/>
        </w:rPr>
        <w:t>кривично дело пореске утаје, кривично дело тероризма, кривично дело јавног подстицања на извршење</w:t>
      </w:r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r>
        <w:rPr>
          <w:rFonts w:eastAsiaTheme="minorHAnsi"/>
          <w:color w:val="auto"/>
          <w:kern w:val="0"/>
          <w:lang w:eastAsia="en-US"/>
        </w:rPr>
        <w:t>терористичких дела, кривично дело врбовања и обучавања за вршење терористичких дела и кривично дело</w:t>
      </w:r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r>
        <w:rPr>
          <w:rFonts w:eastAsiaTheme="minorHAnsi"/>
          <w:color w:val="auto"/>
          <w:kern w:val="0"/>
          <w:lang w:eastAsia="en-US"/>
        </w:rPr>
        <w:t>терористичког удруживања, кривично дело прања новца, кривично дело финансирања тероризма, кривично дело</w:t>
      </w:r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r>
        <w:rPr>
          <w:rFonts w:eastAsiaTheme="minorHAnsi"/>
          <w:color w:val="auto"/>
          <w:kern w:val="0"/>
          <w:lang w:eastAsia="en-US"/>
        </w:rPr>
        <w:t>трговине људима и кривично дело заснивања ропског односа и превоза лица у ропском односу.</w:t>
      </w:r>
    </w:p>
    <w:p>
      <w:pPr>
        <w:suppressAutoHyphens w:val="0"/>
        <w:autoSpaceDE w:val="0"/>
        <w:autoSpaceDN w:val="0"/>
        <w:adjustRightInd w:val="0"/>
        <w:spacing w:line="240" w:lineRule="auto"/>
        <w:ind w:firstLine="708"/>
        <w:rPr>
          <w:rFonts w:eastAsiaTheme="minorHAnsi"/>
          <w:color w:val="auto"/>
          <w:kern w:val="0"/>
          <w:lang w:eastAsia="en-US"/>
        </w:rPr>
      </w:pPr>
      <w:r>
        <w:rPr>
          <w:rFonts w:eastAsiaTheme="minorHAnsi"/>
          <w:color w:val="auto"/>
          <w:kern w:val="0"/>
          <w:lang w:eastAsia="en-US"/>
        </w:rPr>
        <w:t>Сматра се да привредни субјект који је уписан у регистар понуђача нема основа за искључење из члана 111. став 1.</w:t>
      </w:r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r>
        <w:rPr>
          <w:rFonts w:eastAsiaTheme="minorHAnsi"/>
          <w:color w:val="auto"/>
          <w:kern w:val="0"/>
          <w:lang w:eastAsia="en-US"/>
        </w:rPr>
        <w:t>тач. 1) Закона о јавним набавкама.</w:t>
      </w:r>
    </w:p>
    <w:p>
      <w:pPr>
        <w:suppressAutoHyphens w:val="0"/>
        <w:autoSpaceDE w:val="0"/>
        <w:autoSpaceDN w:val="0"/>
        <w:adjustRightInd w:val="0"/>
        <w:spacing w:line="240" w:lineRule="auto"/>
        <w:ind w:firstLine="708"/>
        <w:rPr>
          <w:rFonts w:eastAsiaTheme="minorHAnsi"/>
          <w:b/>
          <w:bCs/>
          <w:color w:val="auto"/>
          <w:kern w:val="0"/>
          <w:lang w:eastAsia="en-US"/>
        </w:rPr>
      </w:pPr>
      <w:r>
        <w:rPr>
          <w:rFonts w:eastAsiaTheme="minorHAnsi"/>
          <w:b/>
          <w:bCs/>
          <w:color w:val="auto"/>
          <w:kern w:val="0"/>
          <w:lang w:eastAsia="en-US"/>
        </w:rPr>
        <w:t>1.2. Порези и доприноси</w:t>
      </w:r>
    </w:p>
    <w:p>
      <w:pPr>
        <w:suppressAutoHyphens w:val="0"/>
        <w:autoSpaceDE w:val="0"/>
        <w:autoSpaceDN w:val="0"/>
        <w:adjustRightInd w:val="0"/>
        <w:spacing w:line="240" w:lineRule="auto"/>
        <w:ind w:firstLine="708"/>
        <w:jc w:val="both"/>
        <w:rPr>
          <w:rFonts w:eastAsiaTheme="minorHAnsi"/>
          <w:color w:val="auto"/>
          <w:kern w:val="0"/>
          <w:lang w:eastAsia="en-US"/>
        </w:rPr>
      </w:pPr>
      <w:r>
        <w:rPr>
          <w:rFonts w:eastAsiaTheme="minorHAnsi"/>
          <w:color w:val="auto"/>
          <w:kern w:val="0"/>
          <w:lang w:eastAsia="en-US"/>
        </w:rPr>
        <w:t>Правни основ: Члан 111. став 1. тач. 2)-Наручилац је дужан да искључи привредног субјекта из поступка јавне набавке ако</w:t>
      </w:r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r>
        <w:rPr>
          <w:rFonts w:eastAsiaTheme="minorHAnsi"/>
          <w:color w:val="auto"/>
          <w:kern w:val="0"/>
          <w:lang w:eastAsia="en-US"/>
        </w:rPr>
        <w:t>привредни субјект не докаже да је измирио доспеле порезе и доприносе за обавезно социјално осигурање или да</w:t>
      </w:r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r>
        <w:rPr>
          <w:rFonts w:eastAsiaTheme="minorHAnsi"/>
          <w:color w:val="auto"/>
          <w:kern w:val="0"/>
          <w:lang w:eastAsia="en-US"/>
        </w:rPr>
        <w:t>му је обавезујућим споразумом или решењем, у складу са посебним прописом, одобрено одлагање плаћања дуга,</w:t>
      </w:r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r>
        <w:rPr>
          <w:rFonts w:eastAsiaTheme="minorHAnsi"/>
          <w:color w:val="auto"/>
          <w:kern w:val="0"/>
          <w:lang w:eastAsia="en-US"/>
        </w:rPr>
        <w:t>укључујући све настале камате и новчане казне.</w:t>
      </w:r>
    </w:p>
    <w:p>
      <w:pPr>
        <w:suppressAutoHyphens w:val="0"/>
        <w:autoSpaceDE w:val="0"/>
        <w:autoSpaceDN w:val="0"/>
        <w:adjustRightInd w:val="0"/>
        <w:spacing w:line="240" w:lineRule="auto"/>
        <w:ind w:firstLine="708"/>
        <w:rPr>
          <w:rFonts w:eastAsiaTheme="minorHAnsi"/>
          <w:color w:val="auto"/>
          <w:kern w:val="0"/>
          <w:lang w:eastAsia="en-US"/>
        </w:rPr>
      </w:pPr>
      <w:r>
        <w:rPr>
          <w:rFonts w:eastAsiaTheme="minorHAnsi"/>
          <w:color w:val="auto"/>
          <w:kern w:val="0"/>
          <w:lang w:eastAsia="en-US"/>
        </w:rPr>
        <w:t>Сматра се да привредни субјект који је уписан у регистар понуђача нема основа за искључење из члана 111. став 1.</w:t>
      </w:r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r>
        <w:rPr>
          <w:rFonts w:eastAsiaTheme="minorHAnsi"/>
          <w:color w:val="auto"/>
          <w:kern w:val="0"/>
          <w:lang w:eastAsia="en-US"/>
        </w:rPr>
        <w:t>тач. 2) Закона о јавним набавкама</w:t>
      </w:r>
    </w:p>
    <w:p>
      <w:pPr>
        <w:suppressAutoHyphens w:val="0"/>
        <w:autoSpaceDE w:val="0"/>
        <w:autoSpaceDN w:val="0"/>
        <w:adjustRightInd w:val="0"/>
        <w:spacing w:line="240" w:lineRule="auto"/>
        <w:rPr>
          <w:rFonts w:eastAsiaTheme="minorHAnsi"/>
          <w:color w:val="auto"/>
          <w:kern w:val="0"/>
          <w:lang w:eastAsia="en-US"/>
        </w:rPr>
      </w:pPr>
    </w:p>
    <w:p>
      <w:pPr>
        <w:suppressAutoHyphens w:val="0"/>
        <w:autoSpaceDE w:val="0"/>
        <w:autoSpaceDN w:val="0"/>
        <w:adjustRightInd w:val="0"/>
        <w:spacing w:line="240" w:lineRule="auto"/>
        <w:ind w:firstLine="708"/>
        <w:rPr>
          <w:rFonts w:eastAsiaTheme="minorHAnsi"/>
          <w:b/>
          <w:bCs/>
          <w:color w:val="auto"/>
          <w:kern w:val="0"/>
          <w:lang w:eastAsia="en-US"/>
        </w:rPr>
      </w:pPr>
    </w:p>
    <w:p>
      <w:pPr>
        <w:suppressAutoHyphens w:val="0"/>
        <w:autoSpaceDE w:val="0"/>
        <w:autoSpaceDN w:val="0"/>
        <w:adjustRightInd w:val="0"/>
        <w:spacing w:line="240" w:lineRule="auto"/>
        <w:ind w:firstLine="708"/>
        <w:rPr>
          <w:rFonts w:eastAsiaTheme="minorHAnsi"/>
          <w:b/>
          <w:bCs/>
          <w:color w:val="auto"/>
          <w:kern w:val="0"/>
          <w:lang w:eastAsia="en-US"/>
        </w:rPr>
      </w:pPr>
    </w:p>
    <w:p>
      <w:pPr>
        <w:suppressAutoHyphens w:val="0"/>
        <w:autoSpaceDE w:val="0"/>
        <w:autoSpaceDN w:val="0"/>
        <w:adjustRightInd w:val="0"/>
        <w:spacing w:line="240" w:lineRule="auto"/>
        <w:ind w:firstLine="708"/>
        <w:rPr>
          <w:rFonts w:eastAsiaTheme="minorHAnsi"/>
          <w:b/>
          <w:bCs/>
          <w:color w:val="auto"/>
          <w:kern w:val="0"/>
          <w:lang w:eastAsia="en-US"/>
        </w:rPr>
      </w:pPr>
      <w:r>
        <w:rPr>
          <w:rFonts w:eastAsiaTheme="minorHAnsi"/>
          <w:b/>
          <w:bCs/>
          <w:color w:val="auto"/>
          <w:kern w:val="0"/>
          <w:lang w:eastAsia="en-US"/>
        </w:rPr>
        <w:t>1.3. Обавезе у области заштите животне средине, социјалног и радног права</w:t>
      </w:r>
    </w:p>
    <w:p>
      <w:pPr>
        <w:suppressAutoHyphens w:val="0"/>
        <w:autoSpaceDE w:val="0"/>
        <w:autoSpaceDN w:val="0"/>
        <w:adjustRightInd w:val="0"/>
        <w:spacing w:line="240" w:lineRule="auto"/>
        <w:ind w:firstLine="708"/>
        <w:jc w:val="both"/>
        <w:rPr>
          <w:rFonts w:eastAsiaTheme="minorHAnsi"/>
          <w:color w:val="auto"/>
          <w:kern w:val="0"/>
          <w:lang w:eastAsia="en-US"/>
        </w:rPr>
      </w:pPr>
      <w:r>
        <w:rPr>
          <w:rFonts w:eastAsiaTheme="minorHAnsi"/>
          <w:color w:val="auto"/>
          <w:kern w:val="0"/>
          <w:lang w:eastAsia="en-US"/>
        </w:rPr>
        <w:t>Правни основ: Члан 111. став 1. тач. 3)-Наручилац је дужан да искључи привредног субјекта из поступка јавне набавке ако утврди</w:t>
      </w:r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r>
        <w:rPr>
          <w:rFonts w:eastAsiaTheme="minorHAnsi"/>
          <w:color w:val="auto"/>
          <w:kern w:val="0"/>
          <w:lang w:eastAsia="en-US"/>
        </w:rPr>
        <w:t>да је привредни субјект у периоду од претходне две године од дана истека рока за подношење понуда, односно</w:t>
      </w:r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r>
        <w:rPr>
          <w:rFonts w:eastAsiaTheme="minorHAnsi"/>
          <w:color w:val="auto"/>
          <w:kern w:val="0"/>
          <w:lang w:eastAsia="en-US"/>
        </w:rPr>
        <w:t>пријава, повредио обавезе у области заштите животне средине, социјалног и радног права, укључујући колективне</w:t>
      </w:r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r>
        <w:rPr>
          <w:rFonts w:eastAsiaTheme="minorHAnsi"/>
          <w:color w:val="auto"/>
          <w:kern w:val="0"/>
          <w:lang w:eastAsia="en-US"/>
        </w:rPr>
        <w:t>уговоре, а нарочито обавезу исплате уговорене зараде или других обавезних исплата, укључујући и обавезе у складу</w:t>
      </w:r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r>
        <w:rPr>
          <w:rFonts w:eastAsiaTheme="minorHAnsi"/>
          <w:color w:val="auto"/>
          <w:kern w:val="0"/>
          <w:lang w:eastAsia="en-US"/>
        </w:rPr>
        <w:t>с одредбама међународних конвенција које су наведене у Прилогу 8. Закона о јавним набавкама.</w:t>
      </w:r>
    </w:p>
    <w:p>
      <w:pPr>
        <w:suppressAutoHyphens w:val="0"/>
        <w:autoSpaceDE w:val="0"/>
        <w:autoSpaceDN w:val="0"/>
        <w:adjustRightInd w:val="0"/>
        <w:spacing w:line="240" w:lineRule="auto"/>
        <w:ind w:firstLine="708"/>
        <w:rPr>
          <w:rFonts w:eastAsiaTheme="minorHAnsi"/>
          <w:b/>
          <w:bCs/>
          <w:color w:val="auto"/>
          <w:kern w:val="0"/>
          <w:lang w:eastAsia="en-US"/>
        </w:rPr>
      </w:pPr>
      <w:r>
        <w:rPr>
          <w:rFonts w:eastAsiaTheme="minorHAnsi"/>
          <w:b/>
          <w:bCs/>
          <w:color w:val="auto"/>
          <w:kern w:val="0"/>
          <w:lang w:eastAsia="en-US"/>
        </w:rPr>
        <w:t>1.4. Сукоб интереса</w:t>
      </w:r>
    </w:p>
    <w:p>
      <w:pPr>
        <w:suppressAutoHyphens w:val="0"/>
        <w:autoSpaceDE w:val="0"/>
        <w:autoSpaceDN w:val="0"/>
        <w:adjustRightInd w:val="0"/>
        <w:spacing w:line="240" w:lineRule="auto"/>
        <w:ind w:firstLine="708"/>
        <w:jc w:val="both"/>
        <w:rPr>
          <w:rFonts w:eastAsiaTheme="minorHAnsi"/>
          <w:color w:val="auto"/>
          <w:kern w:val="0"/>
          <w:lang w:eastAsia="en-US"/>
        </w:rPr>
      </w:pPr>
      <w:r>
        <w:rPr>
          <w:rFonts w:eastAsiaTheme="minorHAnsi"/>
          <w:color w:val="auto"/>
          <w:kern w:val="0"/>
          <w:lang w:eastAsia="en-US"/>
        </w:rPr>
        <w:t>Правни основ: Члан 111. став 1. тач. 4)-Наручилац је дужан да искључи привредног субјекта из поступка јавне набавке ако постоји</w:t>
      </w:r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r>
        <w:rPr>
          <w:rFonts w:eastAsiaTheme="minorHAnsi"/>
          <w:color w:val="auto"/>
          <w:kern w:val="0"/>
          <w:lang w:eastAsia="en-US"/>
        </w:rPr>
        <w:t>сукоб интереса, у смислу Закона о јавним набавкама, који не може да се отклони другим мерама.</w:t>
      </w:r>
    </w:p>
    <w:p>
      <w:pPr>
        <w:suppressAutoHyphens w:val="0"/>
        <w:autoSpaceDE w:val="0"/>
        <w:autoSpaceDN w:val="0"/>
        <w:adjustRightInd w:val="0"/>
        <w:spacing w:line="240" w:lineRule="auto"/>
        <w:ind w:firstLine="708"/>
        <w:rPr>
          <w:rFonts w:eastAsiaTheme="minorHAnsi"/>
          <w:b/>
          <w:bCs/>
          <w:color w:val="auto"/>
          <w:kern w:val="0"/>
          <w:lang w:eastAsia="en-US"/>
        </w:rPr>
      </w:pPr>
      <w:r>
        <w:rPr>
          <w:rFonts w:eastAsiaTheme="minorHAnsi"/>
          <w:b/>
          <w:bCs/>
          <w:color w:val="auto"/>
          <w:kern w:val="0"/>
          <w:lang w:eastAsia="en-US"/>
        </w:rPr>
        <w:t>1.5. Непримерен утицај на поступак</w:t>
      </w:r>
    </w:p>
    <w:p>
      <w:pPr>
        <w:suppressAutoHyphens w:val="0"/>
        <w:autoSpaceDE w:val="0"/>
        <w:autoSpaceDN w:val="0"/>
        <w:adjustRightInd w:val="0"/>
        <w:spacing w:line="240" w:lineRule="auto"/>
        <w:ind w:firstLine="708"/>
        <w:jc w:val="both"/>
        <w:rPr>
          <w:rFonts w:eastAsiaTheme="minorHAnsi"/>
          <w:color w:val="auto"/>
          <w:kern w:val="0"/>
          <w:lang w:eastAsia="en-US"/>
        </w:rPr>
      </w:pPr>
      <w:r>
        <w:rPr>
          <w:rFonts w:eastAsiaTheme="minorHAnsi"/>
          <w:color w:val="auto"/>
          <w:kern w:val="0"/>
          <w:lang w:eastAsia="en-US"/>
        </w:rPr>
        <w:t>Правни основ: Члан 111. став 1. тач. 5)-Наручилац је дужан да искључи привредног субјекта из поступка јавне набавке ако утврди</w:t>
      </w:r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r>
        <w:rPr>
          <w:rFonts w:eastAsiaTheme="minorHAnsi"/>
          <w:color w:val="auto"/>
          <w:kern w:val="0"/>
          <w:lang w:eastAsia="en-US"/>
        </w:rPr>
        <w:t>да је привредни субјект покушао да изврши непримерен утицај на поступак одлучивања наручиоца или да дође до</w:t>
      </w:r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r>
        <w:rPr>
          <w:rFonts w:eastAsiaTheme="minorHAnsi"/>
          <w:color w:val="auto"/>
          <w:kern w:val="0"/>
          <w:lang w:eastAsia="en-US"/>
        </w:rPr>
        <w:t>поверљивих података који би могли да му омогуће предност у поступку јавне набавке или је доставио обмањујуће</w:t>
      </w:r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r>
        <w:rPr>
          <w:rFonts w:eastAsiaTheme="minorHAnsi"/>
          <w:color w:val="auto"/>
          <w:kern w:val="0"/>
          <w:lang w:eastAsia="en-US"/>
        </w:rPr>
        <w:t>податке који могу да утичу на одлуке које се тичу искључења привредног субјекта, избора привредног субјекта или</w:t>
      </w:r>
      <w:r>
        <w:rPr>
          <w:rFonts w:eastAsiaTheme="minorHAnsi"/>
          <w:color w:val="auto"/>
          <w:kern w:val="0"/>
          <w:lang w:val="sr-Cyrl-RS" w:eastAsia="en-US"/>
        </w:rPr>
        <w:t xml:space="preserve"> </w:t>
      </w:r>
      <w:r>
        <w:rPr>
          <w:rFonts w:eastAsiaTheme="minorHAnsi"/>
          <w:color w:val="auto"/>
          <w:kern w:val="0"/>
          <w:lang w:eastAsia="en-US"/>
        </w:rPr>
        <w:t>доделе уговора.</w:t>
      </w:r>
    </w:p>
    <w:p>
      <w:pPr>
        <w:spacing w:line="240" w:lineRule="auto"/>
        <w:jc w:val="both"/>
      </w:pPr>
    </w:p>
    <w:p>
      <w:pPr>
        <w:pStyle w:val="ListParagraph"/>
        <w:tabs>
          <w:tab w:val="left" w:pos="709"/>
        </w:tabs>
        <w:spacing w:line="240" w:lineRule="auto"/>
        <w:ind w:left="1843"/>
        <w:jc w:val="both"/>
        <w:rPr>
          <w:lang w:val="sr-Cyrl-RS"/>
        </w:rPr>
      </w:pPr>
    </w:p>
    <w:p>
      <w:pPr>
        <w:pStyle w:val="ListParagraph"/>
        <w:tabs>
          <w:tab w:val="left" w:pos="709"/>
        </w:tabs>
        <w:spacing w:line="240" w:lineRule="auto"/>
        <w:ind w:left="1843"/>
        <w:jc w:val="both"/>
        <w:rPr>
          <w:lang w:val="sr-Cyrl-RS"/>
        </w:rPr>
      </w:pPr>
    </w:p>
    <w:p>
      <w:r>
        <w:rPr>
          <w:lang w:val="sr-Cyrl-RS"/>
        </w:rPr>
        <w:t xml:space="preserve">    </w:t>
      </w:r>
      <w:r>
        <w:t xml:space="preserve">Место:_____________   </w:t>
      </w:r>
    </w:p>
    <w:p>
      <w:r>
        <w:t xml:space="preserve">                                                 </w:t>
      </w:r>
      <w:r>
        <w:rPr>
          <w:lang w:val="sr-Cyrl-RS"/>
        </w:rPr>
        <w:t xml:space="preserve">                                                                      </w:t>
      </w:r>
      <w:r>
        <w:t xml:space="preserve"> Понуђач:</w:t>
      </w:r>
    </w:p>
    <w:p/>
    <w:p>
      <w:pPr>
        <w:rPr>
          <w:b/>
          <w:bCs/>
          <w:i/>
          <w:color w:val="auto"/>
        </w:rPr>
      </w:pPr>
      <w:r>
        <w:rPr>
          <w:lang w:val="sr-Cyrl-RS"/>
        </w:rPr>
        <w:t xml:space="preserve">    </w:t>
      </w:r>
      <w:r>
        <w:t xml:space="preserve">Датум:_____________                     </w:t>
      </w:r>
      <w:r>
        <w:rPr>
          <w:lang w:val="sr-Cyrl-RS"/>
        </w:rPr>
        <w:t xml:space="preserve">                                            </w:t>
      </w:r>
      <w:r>
        <w:t xml:space="preserve"> </w:t>
      </w:r>
      <w:r>
        <w:rPr>
          <w:lang w:val="sr-Cyrl-RS"/>
        </w:rPr>
        <w:t xml:space="preserve"> </w:t>
      </w:r>
      <w:r>
        <w:t xml:space="preserve">_____________________                                                        </w:t>
      </w:r>
    </w:p>
    <w:p>
      <w:pPr>
        <w:pStyle w:val="ListParagraph"/>
        <w:tabs>
          <w:tab w:val="left" w:pos="1005"/>
        </w:tabs>
        <w:spacing w:after="120"/>
        <w:ind w:left="644"/>
        <w:jc w:val="both"/>
        <w:rPr>
          <w:bCs/>
          <w:iCs/>
          <w:color w:val="auto"/>
          <w:lang w:val="sr-Cyrl-RS"/>
        </w:rPr>
      </w:pPr>
    </w:p>
    <w:sectPr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9BBE6D6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50" w:hanging="720"/>
      </w:pPr>
      <w:rPr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decimal"/>
      <w:lvlText w:val="%1)"/>
      <w:lvlJc w:val="left"/>
      <w:pPr>
        <w:tabs>
          <w:tab w:val="num" w:pos="55"/>
        </w:tabs>
        <w:ind w:left="1495" w:hanging="360"/>
      </w:pPr>
      <w:rPr>
        <w:rFonts w:cs="Arial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2" w15:restartNumberingAfterBreak="0">
    <w:nsid w:val="0BA57759"/>
    <w:multiLevelType w:val="hybridMultilevel"/>
    <w:tmpl w:val="4EDCE2B4"/>
    <w:lvl w:ilvl="0" w:tplc="821CFD30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496" w:hanging="360"/>
      </w:pPr>
    </w:lvl>
    <w:lvl w:ilvl="2" w:tplc="241A001B" w:tentative="1">
      <w:start w:val="1"/>
      <w:numFmt w:val="lowerRoman"/>
      <w:lvlText w:val="%3."/>
      <w:lvlJc w:val="right"/>
      <w:pPr>
        <w:ind w:left="3216" w:hanging="180"/>
      </w:pPr>
    </w:lvl>
    <w:lvl w:ilvl="3" w:tplc="241A000F" w:tentative="1">
      <w:start w:val="1"/>
      <w:numFmt w:val="decimal"/>
      <w:lvlText w:val="%4."/>
      <w:lvlJc w:val="left"/>
      <w:pPr>
        <w:ind w:left="3936" w:hanging="360"/>
      </w:pPr>
    </w:lvl>
    <w:lvl w:ilvl="4" w:tplc="241A0019" w:tentative="1">
      <w:start w:val="1"/>
      <w:numFmt w:val="lowerLetter"/>
      <w:lvlText w:val="%5."/>
      <w:lvlJc w:val="left"/>
      <w:pPr>
        <w:ind w:left="4656" w:hanging="360"/>
      </w:pPr>
    </w:lvl>
    <w:lvl w:ilvl="5" w:tplc="241A001B" w:tentative="1">
      <w:start w:val="1"/>
      <w:numFmt w:val="lowerRoman"/>
      <w:lvlText w:val="%6."/>
      <w:lvlJc w:val="right"/>
      <w:pPr>
        <w:ind w:left="5376" w:hanging="180"/>
      </w:pPr>
    </w:lvl>
    <w:lvl w:ilvl="6" w:tplc="241A000F" w:tentative="1">
      <w:start w:val="1"/>
      <w:numFmt w:val="decimal"/>
      <w:lvlText w:val="%7."/>
      <w:lvlJc w:val="left"/>
      <w:pPr>
        <w:ind w:left="6096" w:hanging="360"/>
      </w:pPr>
    </w:lvl>
    <w:lvl w:ilvl="7" w:tplc="241A0019" w:tentative="1">
      <w:start w:val="1"/>
      <w:numFmt w:val="lowerLetter"/>
      <w:lvlText w:val="%8."/>
      <w:lvlJc w:val="left"/>
      <w:pPr>
        <w:ind w:left="6816" w:hanging="360"/>
      </w:pPr>
    </w:lvl>
    <w:lvl w:ilvl="8" w:tplc="2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0E8233DF"/>
    <w:multiLevelType w:val="hybridMultilevel"/>
    <w:tmpl w:val="BF0E1DF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A50D6"/>
    <w:multiLevelType w:val="hybridMultilevel"/>
    <w:tmpl w:val="6C486A70"/>
    <w:lvl w:ilvl="0" w:tplc="D92A9854">
      <w:start w:val="1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790" w:hanging="360"/>
      </w:pPr>
    </w:lvl>
    <w:lvl w:ilvl="2" w:tplc="241A001B" w:tentative="1">
      <w:start w:val="1"/>
      <w:numFmt w:val="lowerRoman"/>
      <w:lvlText w:val="%3."/>
      <w:lvlJc w:val="right"/>
      <w:pPr>
        <w:ind w:left="3510" w:hanging="180"/>
      </w:pPr>
    </w:lvl>
    <w:lvl w:ilvl="3" w:tplc="241A000F" w:tentative="1">
      <w:start w:val="1"/>
      <w:numFmt w:val="decimal"/>
      <w:lvlText w:val="%4."/>
      <w:lvlJc w:val="left"/>
      <w:pPr>
        <w:ind w:left="4230" w:hanging="360"/>
      </w:pPr>
    </w:lvl>
    <w:lvl w:ilvl="4" w:tplc="241A0019" w:tentative="1">
      <w:start w:val="1"/>
      <w:numFmt w:val="lowerLetter"/>
      <w:lvlText w:val="%5."/>
      <w:lvlJc w:val="left"/>
      <w:pPr>
        <w:ind w:left="4950" w:hanging="360"/>
      </w:pPr>
    </w:lvl>
    <w:lvl w:ilvl="5" w:tplc="241A001B" w:tentative="1">
      <w:start w:val="1"/>
      <w:numFmt w:val="lowerRoman"/>
      <w:lvlText w:val="%6."/>
      <w:lvlJc w:val="right"/>
      <w:pPr>
        <w:ind w:left="5670" w:hanging="180"/>
      </w:pPr>
    </w:lvl>
    <w:lvl w:ilvl="6" w:tplc="241A000F" w:tentative="1">
      <w:start w:val="1"/>
      <w:numFmt w:val="decimal"/>
      <w:lvlText w:val="%7."/>
      <w:lvlJc w:val="left"/>
      <w:pPr>
        <w:ind w:left="6390" w:hanging="360"/>
      </w:pPr>
    </w:lvl>
    <w:lvl w:ilvl="7" w:tplc="241A0019" w:tentative="1">
      <w:start w:val="1"/>
      <w:numFmt w:val="lowerLetter"/>
      <w:lvlText w:val="%8."/>
      <w:lvlJc w:val="left"/>
      <w:pPr>
        <w:ind w:left="7110" w:hanging="360"/>
      </w:pPr>
    </w:lvl>
    <w:lvl w:ilvl="8" w:tplc="241A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5" w15:restartNumberingAfterBreak="0">
    <w:nsid w:val="30277B05"/>
    <w:multiLevelType w:val="hybridMultilevel"/>
    <w:tmpl w:val="5F46730E"/>
    <w:lvl w:ilvl="0" w:tplc="405C53CE">
      <w:start w:val="2"/>
      <w:numFmt w:val="decimal"/>
      <w:lvlText w:val="%1)"/>
      <w:lvlJc w:val="left"/>
      <w:pPr>
        <w:ind w:left="1500" w:hanging="360"/>
      </w:pPr>
      <w:rPr>
        <w:rFonts w:hint="default"/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2220" w:hanging="360"/>
      </w:pPr>
    </w:lvl>
    <w:lvl w:ilvl="2" w:tplc="241A001B" w:tentative="1">
      <w:start w:val="1"/>
      <w:numFmt w:val="lowerRoman"/>
      <w:lvlText w:val="%3."/>
      <w:lvlJc w:val="right"/>
      <w:pPr>
        <w:ind w:left="2940" w:hanging="180"/>
      </w:pPr>
    </w:lvl>
    <w:lvl w:ilvl="3" w:tplc="241A000F" w:tentative="1">
      <w:start w:val="1"/>
      <w:numFmt w:val="decimal"/>
      <w:lvlText w:val="%4."/>
      <w:lvlJc w:val="left"/>
      <w:pPr>
        <w:ind w:left="3660" w:hanging="360"/>
      </w:pPr>
    </w:lvl>
    <w:lvl w:ilvl="4" w:tplc="241A0019" w:tentative="1">
      <w:start w:val="1"/>
      <w:numFmt w:val="lowerLetter"/>
      <w:lvlText w:val="%5."/>
      <w:lvlJc w:val="left"/>
      <w:pPr>
        <w:ind w:left="4380" w:hanging="360"/>
      </w:pPr>
    </w:lvl>
    <w:lvl w:ilvl="5" w:tplc="241A001B" w:tentative="1">
      <w:start w:val="1"/>
      <w:numFmt w:val="lowerRoman"/>
      <w:lvlText w:val="%6."/>
      <w:lvlJc w:val="right"/>
      <w:pPr>
        <w:ind w:left="5100" w:hanging="180"/>
      </w:pPr>
    </w:lvl>
    <w:lvl w:ilvl="6" w:tplc="241A000F" w:tentative="1">
      <w:start w:val="1"/>
      <w:numFmt w:val="decimal"/>
      <w:lvlText w:val="%7."/>
      <w:lvlJc w:val="left"/>
      <w:pPr>
        <w:ind w:left="5820" w:hanging="360"/>
      </w:pPr>
    </w:lvl>
    <w:lvl w:ilvl="7" w:tplc="241A0019" w:tentative="1">
      <w:start w:val="1"/>
      <w:numFmt w:val="lowerLetter"/>
      <w:lvlText w:val="%8."/>
      <w:lvlJc w:val="left"/>
      <w:pPr>
        <w:ind w:left="6540" w:hanging="360"/>
      </w:pPr>
    </w:lvl>
    <w:lvl w:ilvl="8" w:tplc="24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 w15:restartNumberingAfterBreak="0">
    <w:nsid w:val="3A440F9F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29350E4"/>
    <w:multiLevelType w:val="hybridMultilevel"/>
    <w:tmpl w:val="EE8C180E"/>
    <w:lvl w:ilvl="0" w:tplc="241A0001">
      <w:start w:val="1"/>
      <w:numFmt w:val="bullet"/>
      <w:lvlText w:val=""/>
      <w:lvlJc w:val="left"/>
      <w:pPr>
        <w:ind w:left="2566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328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400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72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544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616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88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760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8326" w:hanging="360"/>
      </w:pPr>
      <w:rPr>
        <w:rFonts w:ascii="Wingdings" w:hAnsi="Wingdings" w:hint="default"/>
      </w:rPr>
    </w:lvl>
  </w:abstractNum>
  <w:abstractNum w:abstractNumId="8" w15:restartNumberingAfterBreak="0">
    <w:nsid w:val="50DF4B21"/>
    <w:multiLevelType w:val="hybridMultilevel"/>
    <w:tmpl w:val="8B2A6DCA"/>
    <w:lvl w:ilvl="0" w:tplc="765419D6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220" w:hanging="360"/>
      </w:pPr>
    </w:lvl>
    <w:lvl w:ilvl="2" w:tplc="241A001B" w:tentative="1">
      <w:start w:val="1"/>
      <w:numFmt w:val="lowerRoman"/>
      <w:lvlText w:val="%3."/>
      <w:lvlJc w:val="right"/>
      <w:pPr>
        <w:ind w:left="2940" w:hanging="180"/>
      </w:pPr>
    </w:lvl>
    <w:lvl w:ilvl="3" w:tplc="241A000F" w:tentative="1">
      <w:start w:val="1"/>
      <w:numFmt w:val="decimal"/>
      <w:lvlText w:val="%4."/>
      <w:lvlJc w:val="left"/>
      <w:pPr>
        <w:ind w:left="3660" w:hanging="360"/>
      </w:pPr>
    </w:lvl>
    <w:lvl w:ilvl="4" w:tplc="241A0019" w:tentative="1">
      <w:start w:val="1"/>
      <w:numFmt w:val="lowerLetter"/>
      <w:lvlText w:val="%5."/>
      <w:lvlJc w:val="left"/>
      <w:pPr>
        <w:ind w:left="4380" w:hanging="360"/>
      </w:pPr>
    </w:lvl>
    <w:lvl w:ilvl="5" w:tplc="241A001B" w:tentative="1">
      <w:start w:val="1"/>
      <w:numFmt w:val="lowerRoman"/>
      <w:lvlText w:val="%6."/>
      <w:lvlJc w:val="right"/>
      <w:pPr>
        <w:ind w:left="5100" w:hanging="180"/>
      </w:pPr>
    </w:lvl>
    <w:lvl w:ilvl="6" w:tplc="241A000F" w:tentative="1">
      <w:start w:val="1"/>
      <w:numFmt w:val="decimal"/>
      <w:lvlText w:val="%7."/>
      <w:lvlJc w:val="left"/>
      <w:pPr>
        <w:ind w:left="5820" w:hanging="360"/>
      </w:pPr>
    </w:lvl>
    <w:lvl w:ilvl="7" w:tplc="241A0019" w:tentative="1">
      <w:start w:val="1"/>
      <w:numFmt w:val="lowerLetter"/>
      <w:lvlText w:val="%8."/>
      <w:lvlJc w:val="left"/>
      <w:pPr>
        <w:ind w:left="6540" w:hanging="360"/>
      </w:pPr>
    </w:lvl>
    <w:lvl w:ilvl="8" w:tplc="24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 w15:restartNumberingAfterBreak="0">
    <w:nsid w:val="5A942719"/>
    <w:multiLevelType w:val="hybridMultilevel"/>
    <w:tmpl w:val="3A960648"/>
    <w:lvl w:ilvl="0" w:tplc="241A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0" w15:restartNumberingAfterBreak="0">
    <w:nsid w:val="661B5EB4"/>
    <w:multiLevelType w:val="hybridMultilevel"/>
    <w:tmpl w:val="1ADCB51E"/>
    <w:lvl w:ilvl="0" w:tplc="EFA66BC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700F524F"/>
    <w:multiLevelType w:val="multilevel"/>
    <w:tmpl w:val="88127EC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."/>
      <w:lvlJc w:val="left"/>
      <w:pPr>
        <w:ind w:left="1846" w:hanging="720"/>
      </w:pPr>
      <w:rPr>
        <w:rFonts w:hint="default"/>
        <w:b w:val="0"/>
        <w:u w:val="none"/>
      </w:rPr>
    </w:lvl>
    <w:lvl w:ilvl="3">
      <w:start w:val="1"/>
      <w:numFmt w:val="decimal"/>
      <w:isLgl/>
      <w:lvlText w:val="%1.%2.%3.%4."/>
      <w:lvlJc w:val="left"/>
      <w:pPr>
        <w:ind w:left="2267" w:hanging="720"/>
      </w:pPr>
      <w:rPr>
        <w:rFonts w:hint="default"/>
        <w:b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3048" w:hanging="1080"/>
      </w:pPr>
      <w:rPr>
        <w:rFonts w:hint="default"/>
        <w:b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3469" w:hanging="1080"/>
      </w:pPr>
      <w:rPr>
        <w:rFonts w:hint="default"/>
        <w:b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4250" w:hanging="1440"/>
      </w:pPr>
      <w:rPr>
        <w:rFonts w:hint="default"/>
        <w:b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4671" w:hanging="1440"/>
      </w:pPr>
      <w:rPr>
        <w:rFonts w:hint="default"/>
        <w:b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5452" w:hanging="1800"/>
      </w:pPr>
      <w:rPr>
        <w:rFonts w:hint="default"/>
        <w:b w:val="0"/>
        <w:u w:val="none"/>
      </w:rPr>
    </w:lvl>
  </w:abstractNum>
  <w:abstractNum w:abstractNumId="12" w15:restartNumberingAfterBreak="0">
    <w:nsid w:val="71163916"/>
    <w:multiLevelType w:val="hybridMultilevel"/>
    <w:tmpl w:val="23A4D418"/>
    <w:lvl w:ilvl="0" w:tplc="98C43A30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215" w:hanging="360"/>
      </w:pPr>
    </w:lvl>
    <w:lvl w:ilvl="2" w:tplc="241A001B" w:tentative="1">
      <w:start w:val="1"/>
      <w:numFmt w:val="lowerRoman"/>
      <w:lvlText w:val="%3."/>
      <w:lvlJc w:val="right"/>
      <w:pPr>
        <w:ind w:left="2935" w:hanging="180"/>
      </w:pPr>
    </w:lvl>
    <w:lvl w:ilvl="3" w:tplc="241A000F" w:tentative="1">
      <w:start w:val="1"/>
      <w:numFmt w:val="decimal"/>
      <w:lvlText w:val="%4."/>
      <w:lvlJc w:val="left"/>
      <w:pPr>
        <w:ind w:left="3655" w:hanging="360"/>
      </w:pPr>
    </w:lvl>
    <w:lvl w:ilvl="4" w:tplc="241A0019" w:tentative="1">
      <w:start w:val="1"/>
      <w:numFmt w:val="lowerLetter"/>
      <w:lvlText w:val="%5."/>
      <w:lvlJc w:val="left"/>
      <w:pPr>
        <w:ind w:left="4375" w:hanging="360"/>
      </w:pPr>
    </w:lvl>
    <w:lvl w:ilvl="5" w:tplc="241A001B" w:tentative="1">
      <w:start w:val="1"/>
      <w:numFmt w:val="lowerRoman"/>
      <w:lvlText w:val="%6."/>
      <w:lvlJc w:val="right"/>
      <w:pPr>
        <w:ind w:left="5095" w:hanging="180"/>
      </w:pPr>
    </w:lvl>
    <w:lvl w:ilvl="6" w:tplc="241A000F" w:tentative="1">
      <w:start w:val="1"/>
      <w:numFmt w:val="decimal"/>
      <w:lvlText w:val="%7."/>
      <w:lvlJc w:val="left"/>
      <w:pPr>
        <w:ind w:left="5815" w:hanging="360"/>
      </w:pPr>
    </w:lvl>
    <w:lvl w:ilvl="7" w:tplc="241A0019" w:tentative="1">
      <w:start w:val="1"/>
      <w:numFmt w:val="lowerLetter"/>
      <w:lvlText w:val="%8."/>
      <w:lvlJc w:val="left"/>
      <w:pPr>
        <w:ind w:left="6535" w:hanging="360"/>
      </w:pPr>
    </w:lvl>
    <w:lvl w:ilvl="8" w:tplc="241A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3" w15:restartNumberingAfterBreak="0">
    <w:nsid w:val="7AC53787"/>
    <w:multiLevelType w:val="hybridMultilevel"/>
    <w:tmpl w:val="ED06A9F6"/>
    <w:lvl w:ilvl="0" w:tplc="241A0001">
      <w:start w:val="1"/>
      <w:numFmt w:val="bullet"/>
      <w:lvlText w:val=""/>
      <w:lvlJc w:val="left"/>
      <w:pPr>
        <w:ind w:left="2566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328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400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72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544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616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88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760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832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3"/>
  </w:num>
  <w:num w:numId="4">
    <w:abstractNumId w:val="9"/>
  </w:num>
  <w:num w:numId="5">
    <w:abstractNumId w:val="11"/>
  </w:num>
  <w:num w:numId="6">
    <w:abstractNumId w:val="5"/>
  </w:num>
  <w:num w:numId="7">
    <w:abstractNumId w:val="8"/>
  </w:num>
  <w:num w:numId="8">
    <w:abstractNumId w:val="0"/>
  </w:num>
  <w:num w:numId="9">
    <w:abstractNumId w:val="4"/>
  </w:num>
  <w:num w:numId="10">
    <w:abstractNumId w:val="2"/>
  </w:num>
  <w:num w:numId="11">
    <w:abstractNumId w:val="10"/>
  </w:num>
  <w:num w:numId="12">
    <w:abstractNumId w:val="7"/>
  </w:num>
  <w:num w:numId="13">
    <w:abstractNumId w:val="1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98DB86-FFE9-4B9D-BDAC-293ADD283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sr-Latn-R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0" w:line="100" w:lineRule="atLeast"/>
    </w:pPr>
    <w:rPr>
      <w:rFonts w:eastAsia="Arial Unicode MS"/>
      <w:color w:val="000000"/>
      <w:kern w:val="1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pPr>
      <w:ind w:left="720"/>
    </w:pPr>
  </w:style>
  <w:style w:type="paragraph" w:styleId="BodyText2">
    <w:name w:val="Body Text 2"/>
    <w:basedOn w:val="Normal"/>
    <w:link w:val="BodyText2Char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Pr>
      <w:rFonts w:eastAsia="Arial Unicode MS"/>
      <w:color w:val="000000"/>
      <w:kern w:val="1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Arial Unicode MS" w:hAnsi="Segoe UI" w:cs="Segoe UI"/>
      <w:color w:val="000000"/>
      <w:kern w:val="1"/>
      <w:sz w:val="18"/>
      <w:szCs w:val="18"/>
      <w:lang w:eastAsia="ar-SA"/>
    </w:rPr>
  </w:style>
  <w:style w:type="paragraph" w:customStyle="1" w:styleId="CharChar5CharCharCharCharChar1CharCharCharCharCharCharCharCharCharCharCharCharCharCharCharCharCharChar1Char">
    <w:name w:val="Char Char5 Char Char Char Char Char1 Char Char Char Char Char Char Char Char Char Char Char Char Char Char Char Char Char Char1 Char"/>
    <w:basedOn w:val="Normal"/>
    <w:pPr>
      <w:suppressAutoHyphens w:val="0"/>
      <w:spacing w:after="160" w:line="240" w:lineRule="auto"/>
      <w:jc w:val="both"/>
    </w:pPr>
    <w:rPr>
      <w:rFonts w:eastAsia="Times New Roman"/>
      <w:color w:val="auto"/>
      <w:kern w:val="0"/>
      <w:szCs w:val="20"/>
      <w:lang w:val="en-US" w:eastAsia="en-US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2</Pages>
  <Words>718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28</cp:revision>
  <cp:lastPrinted>2021-05-12T07:51:00Z</cp:lastPrinted>
  <dcterms:created xsi:type="dcterms:W3CDTF">2021-05-24T11:53:00Z</dcterms:created>
  <dcterms:modified xsi:type="dcterms:W3CDTF">2023-03-02T12:17:00Z</dcterms:modified>
</cp:coreProperties>
</file>