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08154" w14:textId="3D858B98" w:rsidR="00DF3BC9" w:rsidRPr="00AA6716" w:rsidRDefault="00AA6716" w:rsidP="00AE45EE">
      <w:pPr>
        <w:spacing w:after="0" w:line="240" w:lineRule="auto"/>
        <w:jc w:val="center"/>
        <w:rPr>
          <w:b/>
          <w:noProof/>
          <w:sz w:val="32"/>
          <w:szCs w:val="32"/>
          <w:lang w:val="sr-Cyrl-CS"/>
        </w:rPr>
      </w:pPr>
      <w:r>
        <w:rPr>
          <w:b/>
          <w:noProof/>
          <w:sz w:val="32"/>
          <w:szCs w:val="32"/>
          <w:lang w:val="sr-Cyrl-CS"/>
        </w:rPr>
        <w:t>ЈАВНО</w:t>
      </w:r>
      <w:r w:rsidR="00DF3BC9" w:rsidRPr="00AA671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КОМУНАЛНО</w:t>
      </w:r>
      <w:r w:rsidR="00DF3BC9" w:rsidRPr="00AA671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ПРЕДУЗЕЋЕ</w:t>
      </w:r>
      <w:r w:rsidR="00DF3BC9" w:rsidRPr="00AA6716">
        <w:rPr>
          <w:b/>
          <w:noProof/>
          <w:sz w:val="32"/>
          <w:szCs w:val="32"/>
          <w:lang w:val="sr-Cyrl-CS"/>
        </w:rPr>
        <w:t xml:space="preserve"> </w:t>
      </w:r>
      <w:r w:rsidR="00D060C2">
        <w:rPr>
          <w:b/>
          <w:noProof/>
          <w:sz w:val="32"/>
          <w:szCs w:val="32"/>
          <w:lang w:val="sr-Cyrl-CS"/>
        </w:rPr>
        <w:t>„</w:t>
      </w:r>
      <w:r>
        <w:rPr>
          <w:b/>
          <w:noProof/>
          <w:sz w:val="32"/>
          <w:szCs w:val="32"/>
          <w:lang w:val="sr-Cyrl-CS"/>
        </w:rPr>
        <w:t>ГРАДСКА</w:t>
      </w:r>
      <w:r w:rsidR="00DF3BC9" w:rsidRPr="00AA671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ТОПЛАНА</w:t>
      </w:r>
      <w:r w:rsidR="00D060C2">
        <w:rPr>
          <w:b/>
          <w:noProof/>
          <w:sz w:val="32"/>
          <w:szCs w:val="32"/>
          <w:lang w:val="sr-Cyrl-CS"/>
        </w:rPr>
        <w:t>“</w:t>
      </w:r>
      <w:r w:rsidR="00DF3BC9" w:rsidRPr="00AA6716">
        <w:rPr>
          <w:b/>
          <w:noProof/>
          <w:sz w:val="32"/>
          <w:szCs w:val="32"/>
          <w:lang w:val="sr-Cyrl-CS"/>
        </w:rPr>
        <w:t xml:space="preserve"> </w:t>
      </w:r>
      <w:r>
        <w:rPr>
          <w:b/>
          <w:noProof/>
          <w:sz w:val="32"/>
          <w:szCs w:val="32"/>
          <w:lang w:val="sr-Cyrl-CS"/>
        </w:rPr>
        <w:t>КОСЈЕРИЋ</w:t>
      </w:r>
    </w:p>
    <w:p w14:paraId="08832A5F" w14:textId="5E705234" w:rsidR="00DF3BC9" w:rsidRPr="00AE45EE" w:rsidRDefault="00AE45EE" w:rsidP="00AE45EE">
      <w:pPr>
        <w:spacing w:after="0"/>
        <w:jc w:val="center"/>
        <w:rPr>
          <w:bCs/>
          <w:noProof/>
          <w:sz w:val="18"/>
          <w:szCs w:val="18"/>
          <w:lang w:val="sr-Cyrl-CS"/>
        </w:rPr>
      </w:pPr>
      <w:r w:rsidRPr="00AE45EE">
        <w:rPr>
          <w:bCs/>
          <w:noProof/>
          <w:sz w:val="18"/>
          <w:szCs w:val="18"/>
          <w:lang w:val="sr-Cyrl-CS"/>
        </w:rPr>
        <w:t>________________________________________________________</w:t>
      </w:r>
      <w:r>
        <w:rPr>
          <w:bCs/>
          <w:noProof/>
          <w:sz w:val="18"/>
          <w:szCs w:val="18"/>
          <w:lang w:val="sr-Cyrl-CS"/>
        </w:rPr>
        <w:t>____________________________________________</w:t>
      </w:r>
    </w:p>
    <w:p w14:paraId="2AFD3EE0" w14:textId="77777777" w:rsidR="00DF3BC9" w:rsidRPr="00AA6716" w:rsidRDefault="00DF3BC9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5061F256" w14:textId="77777777" w:rsidR="00DF3BC9" w:rsidRPr="00AA6716" w:rsidRDefault="00DF3BC9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589ABAB6" w14:textId="77777777" w:rsidR="00DF3BC9" w:rsidRPr="00AA6716" w:rsidRDefault="00DF3BC9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42F9C06B" w14:textId="7F30B116" w:rsidR="00DF3BC9" w:rsidRDefault="00DF3BC9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0A06A3B0" w14:textId="77777777" w:rsidR="00AE45EE" w:rsidRDefault="00AE45EE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08C6B9F3" w14:textId="4AD85719" w:rsidR="00AE45EE" w:rsidRDefault="00AE45EE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68924048" w14:textId="77777777" w:rsidR="00AE45EE" w:rsidRPr="00AA6716" w:rsidRDefault="00AE45EE" w:rsidP="00DF3BC9">
      <w:pPr>
        <w:spacing w:after="0"/>
        <w:rPr>
          <w:b/>
          <w:noProof/>
          <w:sz w:val="32"/>
          <w:szCs w:val="32"/>
          <w:lang w:val="sr-Cyrl-CS"/>
        </w:rPr>
      </w:pPr>
    </w:p>
    <w:p w14:paraId="02579CB8" w14:textId="32FD95AC" w:rsidR="00DF3BC9" w:rsidRPr="00AA6716" w:rsidRDefault="00574072" w:rsidP="005C1C3B">
      <w:pPr>
        <w:spacing w:after="0"/>
        <w:jc w:val="center"/>
        <w:rPr>
          <w:b/>
          <w:noProof/>
          <w:sz w:val="56"/>
          <w:szCs w:val="56"/>
          <w:lang w:val="sr-Cyrl-CS"/>
        </w:rPr>
      </w:pPr>
      <w:r>
        <w:rPr>
          <w:b/>
          <w:noProof/>
          <w:sz w:val="56"/>
          <w:szCs w:val="56"/>
          <w:lang w:val="sr-Cyrl-CS"/>
        </w:rPr>
        <w:t xml:space="preserve">ПРВЕ ИЗМЕНЕ </w:t>
      </w:r>
      <w:r w:rsidR="00AA6716">
        <w:rPr>
          <w:b/>
          <w:noProof/>
          <w:sz w:val="56"/>
          <w:szCs w:val="56"/>
          <w:lang w:val="sr-Cyrl-CS"/>
        </w:rPr>
        <w:t>П</w:t>
      </w:r>
      <w:r>
        <w:rPr>
          <w:b/>
          <w:noProof/>
          <w:sz w:val="56"/>
          <w:szCs w:val="56"/>
          <w:lang w:val="sr-Cyrl-CS"/>
        </w:rPr>
        <w:t>Р</w:t>
      </w:r>
      <w:r w:rsidR="00AA6716">
        <w:rPr>
          <w:b/>
          <w:noProof/>
          <w:sz w:val="56"/>
          <w:szCs w:val="56"/>
          <w:lang w:val="sr-Cyrl-CS"/>
        </w:rPr>
        <w:t>ОГРАМ</w:t>
      </w:r>
      <w:r>
        <w:rPr>
          <w:b/>
          <w:noProof/>
          <w:sz w:val="56"/>
          <w:szCs w:val="56"/>
          <w:lang w:val="sr-Cyrl-CS"/>
        </w:rPr>
        <w:t>А</w:t>
      </w:r>
    </w:p>
    <w:p w14:paraId="7623FC22" w14:textId="77777777" w:rsidR="005C1C3B" w:rsidRPr="00AA6716" w:rsidRDefault="00AA6716" w:rsidP="005C1C3B">
      <w:pPr>
        <w:spacing w:after="0"/>
        <w:jc w:val="center"/>
        <w:rPr>
          <w:b/>
          <w:noProof/>
          <w:sz w:val="56"/>
          <w:szCs w:val="56"/>
          <w:lang w:val="sr-Cyrl-CS"/>
        </w:rPr>
      </w:pPr>
      <w:r>
        <w:rPr>
          <w:b/>
          <w:noProof/>
          <w:sz w:val="56"/>
          <w:szCs w:val="56"/>
          <w:lang w:val="sr-Cyrl-CS"/>
        </w:rPr>
        <w:t>ПОСЛОВАЊА</w:t>
      </w:r>
      <w:r w:rsidR="0031727C" w:rsidRPr="00AA6716">
        <w:rPr>
          <w:b/>
          <w:noProof/>
          <w:sz w:val="56"/>
          <w:szCs w:val="56"/>
          <w:lang w:val="sr-Cyrl-CS"/>
        </w:rPr>
        <w:t xml:space="preserve"> </w:t>
      </w:r>
      <w:r>
        <w:rPr>
          <w:b/>
          <w:noProof/>
          <w:sz w:val="56"/>
          <w:szCs w:val="56"/>
          <w:lang w:val="sr-Cyrl-CS"/>
        </w:rPr>
        <w:t>ЗА</w:t>
      </w:r>
      <w:r w:rsidR="008860DF">
        <w:rPr>
          <w:b/>
          <w:noProof/>
          <w:sz w:val="56"/>
          <w:szCs w:val="56"/>
          <w:lang w:val="sr-Cyrl-CS"/>
        </w:rPr>
        <w:t xml:space="preserve"> 202</w:t>
      </w:r>
      <w:r w:rsidR="00786478">
        <w:rPr>
          <w:b/>
          <w:noProof/>
          <w:sz w:val="56"/>
          <w:szCs w:val="56"/>
          <w:lang w:val="sr-Latn-RS"/>
        </w:rPr>
        <w:t>2</w:t>
      </w:r>
      <w:r w:rsidR="00463D4C" w:rsidRPr="00AA6716">
        <w:rPr>
          <w:b/>
          <w:noProof/>
          <w:sz w:val="56"/>
          <w:szCs w:val="56"/>
          <w:lang w:val="sr-Cyrl-CS"/>
        </w:rPr>
        <w:t>.</w:t>
      </w:r>
      <w:r w:rsidR="005C1C3B" w:rsidRPr="00AA6716">
        <w:rPr>
          <w:b/>
          <w:noProof/>
          <w:sz w:val="56"/>
          <w:szCs w:val="56"/>
          <w:lang w:val="sr-Cyrl-CS"/>
        </w:rPr>
        <w:t xml:space="preserve"> </w:t>
      </w:r>
      <w:r>
        <w:rPr>
          <w:b/>
          <w:noProof/>
          <w:sz w:val="56"/>
          <w:szCs w:val="56"/>
          <w:lang w:val="sr-Cyrl-CS"/>
        </w:rPr>
        <w:t>ГОДИНУ</w:t>
      </w:r>
    </w:p>
    <w:p w14:paraId="5D8C9485" w14:textId="77777777" w:rsidR="0097413E" w:rsidRPr="00AA6716" w:rsidRDefault="0097413E">
      <w:pPr>
        <w:rPr>
          <w:b/>
          <w:noProof/>
          <w:sz w:val="32"/>
          <w:szCs w:val="32"/>
          <w:lang w:val="sr-Cyrl-CS"/>
        </w:rPr>
      </w:pPr>
    </w:p>
    <w:p w14:paraId="752A9FEF" w14:textId="77777777" w:rsidR="005C1C3B" w:rsidRPr="00AA6716" w:rsidRDefault="005C1C3B">
      <w:pPr>
        <w:rPr>
          <w:b/>
          <w:noProof/>
          <w:sz w:val="32"/>
          <w:szCs w:val="32"/>
          <w:lang w:val="sr-Cyrl-CS"/>
        </w:rPr>
      </w:pPr>
    </w:p>
    <w:p w14:paraId="7F468A0F" w14:textId="77777777" w:rsidR="005C1C3B" w:rsidRPr="00AA6716" w:rsidRDefault="005C1C3B">
      <w:pPr>
        <w:rPr>
          <w:b/>
          <w:noProof/>
          <w:sz w:val="32"/>
          <w:szCs w:val="32"/>
          <w:lang w:val="sr-Cyrl-CS"/>
        </w:rPr>
      </w:pPr>
    </w:p>
    <w:p w14:paraId="502B5390" w14:textId="1FB4B6BF" w:rsidR="005C1C3B" w:rsidRPr="00AA6716" w:rsidRDefault="00AA6716" w:rsidP="005C1C3B">
      <w:pPr>
        <w:spacing w:after="0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ПОСЛОВНО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ИМЕ</w:t>
      </w:r>
      <w:r w:rsidR="009E4C3F">
        <w:rPr>
          <w:b/>
          <w:noProof/>
          <w:sz w:val="24"/>
          <w:szCs w:val="24"/>
          <w:lang w:val="sr-Cyrl-CS"/>
        </w:rPr>
        <w:t xml:space="preserve">:             </w:t>
      </w:r>
      <w:r w:rsidR="009E4C3F" w:rsidRPr="00DD148D">
        <w:rPr>
          <w:b/>
          <w:noProof/>
          <w:sz w:val="24"/>
          <w:szCs w:val="24"/>
          <w:lang w:val="ru-RU"/>
        </w:rPr>
        <w:t xml:space="preserve">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 </w:t>
      </w:r>
      <w:r w:rsidR="009E4C3F" w:rsidRPr="00DD148D">
        <w:rPr>
          <w:b/>
          <w:noProof/>
          <w:sz w:val="24"/>
          <w:szCs w:val="24"/>
          <w:lang w:val="ru-RU"/>
        </w:rPr>
        <w:t xml:space="preserve">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  </w:t>
      </w:r>
      <w:r>
        <w:rPr>
          <w:b/>
          <w:noProof/>
          <w:sz w:val="24"/>
          <w:szCs w:val="24"/>
          <w:lang w:val="sr-Cyrl-CS"/>
        </w:rPr>
        <w:t>ЈКП</w:t>
      </w:r>
      <w:r w:rsidR="009E4C3F" w:rsidRPr="00DD148D">
        <w:rPr>
          <w:b/>
          <w:noProof/>
          <w:sz w:val="24"/>
          <w:szCs w:val="24"/>
          <w:lang w:val="ru-RU"/>
        </w:rPr>
        <w:t xml:space="preserve"> </w:t>
      </w:r>
      <w:r w:rsidR="00B46BB4">
        <w:rPr>
          <w:b/>
          <w:noProof/>
          <w:sz w:val="24"/>
          <w:szCs w:val="24"/>
          <w:lang w:val="sr-Latn-RS"/>
        </w:rPr>
        <w:t>„</w:t>
      </w:r>
      <w:r>
        <w:rPr>
          <w:b/>
          <w:noProof/>
          <w:sz w:val="24"/>
          <w:szCs w:val="24"/>
          <w:lang w:val="sr-Cyrl-CS"/>
        </w:rPr>
        <w:t>Градска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топлана</w:t>
      </w:r>
      <w:r w:rsidR="00B46BB4">
        <w:rPr>
          <w:b/>
          <w:noProof/>
          <w:sz w:val="24"/>
          <w:szCs w:val="24"/>
          <w:lang w:val="sr-Latn-RS"/>
        </w:rPr>
        <w:t>“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Косјерић</w:t>
      </w:r>
    </w:p>
    <w:p w14:paraId="2931ADBB" w14:textId="77777777" w:rsidR="005C1C3B" w:rsidRPr="00DD148D" w:rsidRDefault="00AA6716" w:rsidP="005C1C3B">
      <w:pPr>
        <w:spacing w:after="0"/>
        <w:rPr>
          <w:b/>
          <w:noProof/>
          <w:sz w:val="24"/>
          <w:szCs w:val="24"/>
          <w:lang w:val="ru-RU"/>
        </w:rPr>
      </w:pPr>
      <w:r>
        <w:rPr>
          <w:b/>
          <w:noProof/>
          <w:sz w:val="24"/>
          <w:szCs w:val="24"/>
          <w:lang w:val="sr-Cyrl-CS"/>
        </w:rPr>
        <w:t>СЕДИШТЕ</w:t>
      </w:r>
      <w:r w:rsidR="005157F9">
        <w:rPr>
          <w:b/>
          <w:noProof/>
          <w:sz w:val="24"/>
          <w:szCs w:val="24"/>
          <w:lang w:val="sr-Cyrl-CS"/>
        </w:rPr>
        <w:t xml:space="preserve">:                            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 </w:t>
      </w:r>
      <w:r w:rsidR="009E4C3F" w:rsidRPr="00DD148D">
        <w:rPr>
          <w:b/>
          <w:noProof/>
          <w:sz w:val="24"/>
          <w:szCs w:val="24"/>
          <w:lang w:val="ru-RU"/>
        </w:rPr>
        <w:t xml:space="preserve">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Косјерић</w:t>
      </w:r>
      <w:r w:rsidR="005C1C3B" w:rsidRPr="00AA6716">
        <w:rPr>
          <w:b/>
          <w:noProof/>
          <w:sz w:val="24"/>
          <w:szCs w:val="24"/>
          <w:lang w:val="sr-Cyrl-CS"/>
        </w:rPr>
        <w:t xml:space="preserve">, </w:t>
      </w:r>
      <w:r>
        <w:rPr>
          <w:b/>
          <w:noProof/>
          <w:sz w:val="24"/>
          <w:szCs w:val="24"/>
          <w:lang w:val="sr-Cyrl-CS"/>
        </w:rPr>
        <w:t>Олге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Грбић</w:t>
      </w:r>
      <w:r w:rsidR="005C1C3B" w:rsidRPr="00AA6716">
        <w:rPr>
          <w:b/>
          <w:noProof/>
          <w:sz w:val="24"/>
          <w:szCs w:val="24"/>
          <w:lang w:val="sr-Cyrl-CS"/>
        </w:rPr>
        <w:t xml:space="preserve"> 5/</w:t>
      </w:r>
      <w:r w:rsidR="005157F9">
        <w:rPr>
          <w:b/>
          <w:noProof/>
          <w:sz w:val="24"/>
          <w:szCs w:val="24"/>
        </w:rPr>
        <w:t>II</w:t>
      </w:r>
    </w:p>
    <w:p w14:paraId="71E2A06B" w14:textId="77777777" w:rsidR="005C1C3B" w:rsidRPr="00AA6716" w:rsidRDefault="00AA6716" w:rsidP="005C1C3B">
      <w:pPr>
        <w:spacing w:after="0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ПРЕТЕЖНА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ДЕЛАТНОСТ</w:t>
      </w:r>
      <w:r w:rsidR="005C1C3B" w:rsidRPr="00AA6716">
        <w:rPr>
          <w:b/>
          <w:noProof/>
          <w:sz w:val="24"/>
          <w:szCs w:val="24"/>
          <w:lang w:val="sr-Cyrl-CS"/>
        </w:rPr>
        <w:t xml:space="preserve">:     </w:t>
      </w:r>
      <w:r w:rsidR="009E4C3F" w:rsidRPr="00DD148D">
        <w:rPr>
          <w:b/>
          <w:noProof/>
          <w:sz w:val="24"/>
          <w:szCs w:val="24"/>
          <w:lang w:val="ru-RU"/>
        </w:rPr>
        <w:t xml:space="preserve"> </w:t>
      </w:r>
      <w:r w:rsidR="005C1C3B" w:rsidRPr="00AA6716">
        <w:rPr>
          <w:b/>
          <w:noProof/>
          <w:sz w:val="24"/>
          <w:szCs w:val="24"/>
          <w:lang w:val="sr-Cyrl-CS"/>
        </w:rPr>
        <w:t xml:space="preserve">3530 </w:t>
      </w:r>
      <w:r>
        <w:rPr>
          <w:b/>
          <w:noProof/>
          <w:sz w:val="24"/>
          <w:szCs w:val="24"/>
          <w:lang w:val="sr-Cyrl-CS"/>
        </w:rPr>
        <w:t>Производња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паре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и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климатизација</w:t>
      </w:r>
    </w:p>
    <w:p w14:paraId="1E311FA3" w14:textId="77777777" w:rsidR="005C1C3B" w:rsidRPr="00AA6716" w:rsidRDefault="00AA6716" w:rsidP="005C1C3B">
      <w:pPr>
        <w:spacing w:after="0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ПИБ</w:t>
      </w:r>
      <w:r w:rsidR="005C1C3B" w:rsidRPr="00AA6716">
        <w:rPr>
          <w:b/>
          <w:noProof/>
          <w:sz w:val="24"/>
          <w:szCs w:val="24"/>
          <w:lang w:val="sr-Cyrl-CS"/>
        </w:rPr>
        <w:t xml:space="preserve">:                                        </w:t>
      </w:r>
      <w:r w:rsidR="009E4C3F" w:rsidRPr="00DD148D">
        <w:rPr>
          <w:b/>
          <w:noProof/>
          <w:sz w:val="24"/>
          <w:szCs w:val="24"/>
          <w:lang w:val="ru-RU"/>
        </w:rPr>
        <w:t xml:space="preserve"> 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102838788</w:t>
      </w:r>
    </w:p>
    <w:p w14:paraId="5D975FF1" w14:textId="77777777" w:rsidR="005C1C3B" w:rsidRPr="00AA6716" w:rsidRDefault="00AA6716" w:rsidP="005C1C3B">
      <w:pPr>
        <w:spacing w:after="0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ЈББК</w:t>
      </w:r>
      <w:r w:rsidR="005C1C3B" w:rsidRPr="00AA6716">
        <w:rPr>
          <w:b/>
          <w:noProof/>
          <w:sz w:val="24"/>
          <w:szCs w:val="24"/>
          <w:lang w:val="sr-Cyrl-CS"/>
        </w:rPr>
        <w:t xml:space="preserve">:                                 </w:t>
      </w:r>
      <w:r w:rsidR="005157F9" w:rsidRPr="00DD148D">
        <w:rPr>
          <w:b/>
          <w:noProof/>
          <w:sz w:val="24"/>
          <w:szCs w:val="24"/>
          <w:lang w:val="ru-RU"/>
        </w:rPr>
        <w:t xml:space="preserve"> 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    </w:t>
      </w:r>
      <w:r w:rsidR="009E4C3F" w:rsidRPr="00DD148D">
        <w:rPr>
          <w:b/>
          <w:noProof/>
          <w:sz w:val="24"/>
          <w:szCs w:val="24"/>
          <w:lang w:val="ru-RU"/>
        </w:rPr>
        <w:t xml:space="preserve">  </w:t>
      </w:r>
      <w:r w:rsidR="005C1C3B" w:rsidRPr="00AA6716">
        <w:rPr>
          <w:b/>
          <w:noProof/>
          <w:sz w:val="24"/>
          <w:szCs w:val="24"/>
          <w:lang w:val="sr-Cyrl-CS"/>
        </w:rPr>
        <w:t>84107</w:t>
      </w:r>
    </w:p>
    <w:p w14:paraId="13489571" w14:textId="77777777" w:rsidR="005C1C3B" w:rsidRPr="00AA6716" w:rsidRDefault="00AA6716" w:rsidP="005C1C3B">
      <w:pPr>
        <w:spacing w:after="0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НАДЛЕЖНИ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ОРГАН</w:t>
      </w:r>
      <w:r w:rsidR="005C1C3B" w:rsidRPr="00AA6716">
        <w:rPr>
          <w:b/>
          <w:noProof/>
          <w:sz w:val="24"/>
          <w:szCs w:val="24"/>
          <w:lang w:val="sr-Cyrl-CS"/>
        </w:rPr>
        <w:t xml:space="preserve">:           </w:t>
      </w:r>
      <w:r w:rsidR="009E4C3F" w:rsidRPr="00DD148D">
        <w:rPr>
          <w:b/>
          <w:noProof/>
          <w:sz w:val="24"/>
          <w:szCs w:val="24"/>
          <w:lang w:val="ru-RU"/>
        </w:rPr>
        <w:t xml:space="preserve">  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СО</w:t>
      </w:r>
      <w:r w:rsidR="005C1C3B" w:rsidRPr="00AA6716">
        <w:rPr>
          <w:b/>
          <w:noProof/>
          <w:sz w:val="24"/>
          <w:szCs w:val="24"/>
          <w:lang w:val="sr-Cyrl-CS"/>
        </w:rPr>
        <w:t xml:space="preserve"> </w:t>
      </w:r>
      <w:r>
        <w:rPr>
          <w:b/>
          <w:noProof/>
          <w:sz w:val="24"/>
          <w:szCs w:val="24"/>
          <w:lang w:val="sr-Cyrl-CS"/>
        </w:rPr>
        <w:t>КОСЈЕРИЋ</w:t>
      </w:r>
    </w:p>
    <w:p w14:paraId="6299D150" w14:textId="77777777" w:rsidR="005C1C3B" w:rsidRPr="00AA6716" w:rsidRDefault="005C1C3B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41FFCBEB" w14:textId="77777777" w:rsidR="005C1C3B" w:rsidRPr="00AA6716" w:rsidRDefault="005C1C3B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0D3ED8C1" w14:textId="77777777" w:rsidR="00E81817" w:rsidRPr="00AA6716" w:rsidRDefault="00E81817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3F0E2A8C" w14:textId="707C3073" w:rsidR="00E81817" w:rsidRDefault="00E81817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675B8EE8" w14:textId="3E86401C" w:rsidR="00B46BB4" w:rsidRDefault="00B46BB4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3F56463E" w14:textId="77777777" w:rsidR="00B46BB4" w:rsidRPr="00AA6716" w:rsidRDefault="00B46BB4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1D830CCF" w14:textId="12951E40" w:rsidR="005C1C3B" w:rsidRDefault="005C1C3B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7DB63717" w14:textId="526C7640" w:rsidR="00B46BB4" w:rsidRDefault="00B46BB4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159AD8CF" w14:textId="77777777" w:rsidR="00B46BB4" w:rsidRPr="00AA6716" w:rsidRDefault="00B46BB4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478F33C5" w14:textId="77777777" w:rsidR="005C1C3B" w:rsidRPr="00AA6716" w:rsidRDefault="005C1C3B" w:rsidP="005C1C3B">
      <w:pPr>
        <w:spacing w:after="0"/>
        <w:rPr>
          <w:b/>
          <w:noProof/>
          <w:sz w:val="24"/>
          <w:szCs w:val="24"/>
          <w:lang w:val="sr-Cyrl-CS"/>
        </w:rPr>
      </w:pPr>
    </w:p>
    <w:p w14:paraId="5AABA9DB" w14:textId="77777777" w:rsidR="00E81AAD" w:rsidRDefault="00E81AAD" w:rsidP="00DA335A">
      <w:pPr>
        <w:spacing w:after="0"/>
        <w:jc w:val="center"/>
        <w:rPr>
          <w:b/>
          <w:noProof/>
          <w:sz w:val="24"/>
          <w:szCs w:val="24"/>
          <w:lang w:val="sr-Cyrl-CS"/>
        </w:rPr>
      </w:pPr>
    </w:p>
    <w:p w14:paraId="48A16832" w14:textId="77777777" w:rsidR="00E81AAD" w:rsidRDefault="00E81AAD" w:rsidP="00DA335A">
      <w:pPr>
        <w:spacing w:after="0"/>
        <w:jc w:val="center"/>
        <w:rPr>
          <w:b/>
          <w:noProof/>
          <w:sz w:val="24"/>
          <w:szCs w:val="24"/>
          <w:lang w:val="sr-Cyrl-CS"/>
        </w:rPr>
      </w:pPr>
    </w:p>
    <w:p w14:paraId="5BC1ECD9" w14:textId="48E45F69" w:rsidR="005C1C3B" w:rsidRPr="00AA6716" w:rsidRDefault="00AA6716" w:rsidP="00DA335A">
      <w:pPr>
        <w:spacing w:after="0"/>
        <w:jc w:val="center"/>
        <w:rPr>
          <w:b/>
          <w:noProof/>
          <w:sz w:val="24"/>
          <w:szCs w:val="24"/>
          <w:lang w:val="sr-Cyrl-CS"/>
        </w:rPr>
      </w:pPr>
      <w:r>
        <w:rPr>
          <w:b/>
          <w:noProof/>
          <w:sz w:val="24"/>
          <w:szCs w:val="24"/>
          <w:lang w:val="sr-Cyrl-CS"/>
        </w:rPr>
        <w:t>Косјерић</w:t>
      </w:r>
      <w:r w:rsidR="00934317" w:rsidRPr="00AA6716">
        <w:rPr>
          <w:b/>
          <w:noProof/>
          <w:sz w:val="24"/>
          <w:szCs w:val="24"/>
          <w:lang w:val="sr-Cyrl-CS"/>
        </w:rPr>
        <w:t xml:space="preserve">, </w:t>
      </w:r>
      <w:r w:rsidR="00574072">
        <w:rPr>
          <w:b/>
          <w:noProof/>
          <w:sz w:val="24"/>
          <w:szCs w:val="24"/>
          <w:lang w:val="sr-Cyrl-CS"/>
        </w:rPr>
        <w:t xml:space="preserve">септембар </w:t>
      </w:r>
      <w:r w:rsidR="00786478">
        <w:rPr>
          <w:b/>
          <w:noProof/>
          <w:sz w:val="24"/>
          <w:szCs w:val="24"/>
          <w:lang w:val="sr-Cyrl-CS"/>
        </w:rPr>
        <w:t>202</w:t>
      </w:r>
      <w:r w:rsidR="00574072">
        <w:rPr>
          <w:b/>
          <w:noProof/>
          <w:sz w:val="24"/>
          <w:szCs w:val="24"/>
          <w:lang w:val="sr-Cyrl-CS"/>
        </w:rPr>
        <w:t>2</w:t>
      </w:r>
      <w:r w:rsidR="005C1C3B" w:rsidRPr="00AA6716">
        <w:rPr>
          <w:b/>
          <w:noProof/>
          <w:sz w:val="24"/>
          <w:szCs w:val="24"/>
          <w:lang w:val="sr-Cyrl-CS"/>
        </w:rPr>
        <w:t xml:space="preserve">. </w:t>
      </w:r>
      <w:r>
        <w:rPr>
          <w:b/>
          <w:noProof/>
          <w:sz w:val="24"/>
          <w:szCs w:val="24"/>
          <w:lang w:val="sr-Cyrl-CS"/>
        </w:rPr>
        <w:t>године</w:t>
      </w:r>
    </w:p>
    <w:p w14:paraId="39A82A55" w14:textId="5AFD478A" w:rsidR="005C1C3B" w:rsidRPr="00AA6716" w:rsidRDefault="00DA335A" w:rsidP="00DA335A">
      <w:pPr>
        <w:spacing w:after="0"/>
        <w:jc w:val="center"/>
        <w:rPr>
          <w:b/>
          <w:noProof/>
          <w:lang w:val="sr-Cyrl-CS"/>
        </w:rPr>
      </w:pPr>
      <w:r w:rsidRPr="00AA6716">
        <w:rPr>
          <w:b/>
          <w:noProof/>
          <w:lang w:val="sr-Cyrl-CS"/>
        </w:rPr>
        <w:t>__________________________________________________________________________________</w:t>
      </w:r>
    </w:p>
    <w:p w14:paraId="085D9B57" w14:textId="27EB2302" w:rsidR="0097413E" w:rsidRPr="00AA6716" w:rsidRDefault="00AA6716" w:rsidP="00E81AAD">
      <w:pPr>
        <w:tabs>
          <w:tab w:val="left" w:pos="2207"/>
          <w:tab w:val="center" w:pos="4703"/>
        </w:tabs>
        <w:jc w:val="center"/>
        <w:rPr>
          <w:b/>
          <w:noProof/>
          <w:spacing w:val="62"/>
          <w:sz w:val="32"/>
          <w:szCs w:val="32"/>
          <w:lang w:val="sr-Cyrl-CS"/>
        </w:rPr>
      </w:pPr>
      <w:r>
        <w:rPr>
          <w:b/>
          <w:noProof/>
          <w:spacing w:val="62"/>
          <w:sz w:val="32"/>
          <w:szCs w:val="32"/>
          <w:lang w:val="sr-Cyrl-CS"/>
        </w:rPr>
        <w:lastRenderedPageBreak/>
        <w:t>САДРЖАЈ</w:t>
      </w: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</w:rPr>
        <w:id w:val="-5647992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EA5A7A0" w14:textId="07E79B6A" w:rsidR="00122CD2" w:rsidRDefault="00122CD2">
          <w:pPr>
            <w:pStyle w:val="TOCHeading"/>
          </w:pPr>
        </w:p>
        <w:p w14:paraId="7164CDB0" w14:textId="77777777" w:rsidR="00C45EA5" w:rsidRDefault="00122CD2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3273339" w:history="1">
            <w:r w:rsidR="00C45EA5" w:rsidRPr="00BB21BD">
              <w:rPr>
                <w:rStyle w:val="Hyperlink"/>
                <w:noProof/>
                <w:lang w:val="sr-Cyrl-CS"/>
              </w:rPr>
              <w:t>1.</w:t>
            </w:r>
            <w:r w:rsidR="00C45EA5">
              <w:rPr>
                <w:rFonts w:eastAsiaTheme="minorEastAsia"/>
                <w:noProof/>
              </w:rPr>
              <w:tab/>
            </w:r>
            <w:r w:rsidR="00C45EA5" w:rsidRPr="00BB21BD">
              <w:rPr>
                <w:rStyle w:val="Hyperlink"/>
                <w:noProof/>
                <w:lang w:val="sr-Cyrl-CS"/>
              </w:rPr>
              <w:t>ОБРАЗЛОЖЕЊЕ ПРВЕ ИЗМЕНЕ ПРОГРАМА ПОСЛОВАЊА</w:t>
            </w:r>
            <w:r w:rsidR="00C45EA5">
              <w:rPr>
                <w:noProof/>
                <w:webHidden/>
              </w:rPr>
              <w:tab/>
            </w:r>
            <w:r w:rsidR="00C45EA5">
              <w:rPr>
                <w:noProof/>
                <w:webHidden/>
              </w:rPr>
              <w:fldChar w:fldCharType="begin"/>
            </w:r>
            <w:r w:rsidR="00C45EA5">
              <w:rPr>
                <w:noProof/>
                <w:webHidden/>
              </w:rPr>
              <w:instrText xml:space="preserve"> PAGEREF _Toc113273339 \h </w:instrText>
            </w:r>
            <w:r w:rsidR="00C45EA5">
              <w:rPr>
                <w:noProof/>
                <w:webHidden/>
              </w:rPr>
            </w:r>
            <w:r w:rsidR="00C45EA5">
              <w:rPr>
                <w:noProof/>
                <w:webHidden/>
              </w:rPr>
              <w:fldChar w:fldCharType="separate"/>
            </w:r>
            <w:r w:rsidR="00C45EA5">
              <w:rPr>
                <w:noProof/>
                <w:webHidden/>
              </w:rPr>
              <w:t>1</w:t>
            </w:r>
            <w:r w:rsidR="00C45EA5">
              <w:rPr>
                <w:noProof/>
                <w:webHidden/>
              </w:rPr>
              <w:fldChar w:fldCharType="end"/>
            </w:r>
          </w:hyperlink>
        </w:p>
        <w:p w14:paraId="4333D757" w14:textId="77777777" w:rsidR="00C45EA5" w:rsidRDefault="00411601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</w:rPr>
          </w:pPr>
          <w:hyperlink w:anchor="_Toc113273340" w:history="1">
            <w:r w:rsidR="00C45EA5" w:rsidRPr="00BB21BD">
              <w:rPr>
                <w:rStyle w:val="Hyperlink"/>
                <w:noProof/>
                <w:lang w:val="sr-Cyrl-CS"/>
              </w:rPr>
              <w:t>2.</w:t>
            </w:r>
            <w:r w:rsidR="00C45EA5">
              <w:rPr>
                <w:rFonts w:eastAsiaTheme="minorEastAsia"/>
                <w:noProof/>
              </w:rPr>
              <w:tab/>
            </w:r>
            <w:r w:rsidR="00C45EA5" w:rsidRPr="00BB21BD">
              <w:rPr>
                <w:rStyle w:val="Hyperlink"/>
                <w:noProof/>
                <w:lang w:val="sr-Cyrl-CS"/>
              </w:rPr>
              <w:t>ПЛАНИРАНИ ФИЗИЧКИ ОБИМ АКТИВНОСТИ</w:t>
            </w:r>
            <w:r w:rsidR="00C45EA5">
              <w:rPr>
                <w:noProof/>
                <w:webHidden/>
              </w:rPr>
              <w:tab/>
            </w:r>
            <w:r w:rsidR="00C45EA5">
              <w:rPr>
                <w:noProof/>
                <w:webHidden/>
              </w:rPr>
              <w:fldChar w:fldCharType="begin"/>
            </w:r>
            <w:r w:rsidR="00C45EA5">
              <w:rPr>
                <w:noProof/>
                <w:webHidden/>
              </w:rPr>
              <w:instrText xml:space="preserve"> PAGEREF _Toc113273340 \h </w:instrText>
            </w:r>
            <w:r w:rsidR="00C45EA5">
              <w:rPr>
                <w:noProof/>
                <w:webHidden/>
              </w:rPr>
            </w:r>
            <w:r w:rsidR="00C45EA5">
              <w:rPr>
                <w:noProof/>
                <w:webHidden/>
              </w:rPr>
              <w:fldChar w:fldCharType="separate"/>
            </w:r>
            <w:r w:rsidR="00C45EA5">
              <w:rPr>
                <w:noProof/>
                <w:webHidden/>
              </w:rPr>
              <w:t>1</w:t>
            </w:r>
            <w:r w:rsidR="00C45EA5">
              <w:rPr>
                <w:noProof/>
                <w:webHidden/>
              </w:rPr>
              <w:fldChar w:fldCharType="end"/>
            </w:r>
          </w:hyperlink>
        </w:p>
        <w:p w14:paraId="36D90EEE" w14:textId="77777777" w:rsidR="00C45EA5" w:rsidRDefault="00411601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</w:rPr>
          </w:pPr>
          <w:hyperlink w:anchor="_Toc113273341" w:history="1">
            <w:r w:rsidR="00C45EA5" w:rsidRPr="00BB21BD">
              <w:rPr>
                <w:rStyle w:val="Hyperlink"/>
                <w:noProof/>
                <w:lang w:val="sr-Cyrl-CS"/>
              </w:rPr>
              <w:t>3.</w:t>
            </w:r>
            <w:r w:rsidR="00C45EA5">
              <w:rPr>
                <w:rFonts w:eastAsiaTheme="minorEastAsia"/>
                <w:noProof/>
              </w:rPr>
              <w:tab/>
            </w:r>
            <w:r w:rsidR="00C45EA5" w:rsidRPr="00BB21BD">
              <w:rPr>
                <w:rStyle w:val="Hyperlink"/>
                <w:noProof/>
                <w:lang w:val="sr-Cyrl-CS"/>
              </w:rPr>
              <w:t>ПЛАНИРАНИ ИЗВОРИ ПРИХОДА И ПОЗИЦИЈЕ РАСХОДА ПО НАМЕНИ ЗА 2022. ГОДИНУ СА ОЧЕКИВАНИМ ИЗМЕНАМА</w:t>
            </w:r>
            <w:r w:rsidR="00C45EA5">
              <w:rPr>
                <w:noProof/>
                <w:webHidden/>
              </w:rPr>
              <w:tab/>
            </w:r>
            <w:r w:rsidR="00C45EA5">
              <w:rPr>
                <w:noProof/>
                <w:webHidden/>
              </w:rPr>
              <w:fldChar w:fldCharType="begin"/>
            </w:r>
            <w:r w:rsidR="00C45EA5">
              <w:rPr>
                <w:noProof/>
                <w:webHidden/>
              </w:rPr>
              <w:instrText xml:space="preserve"> PAGEREF _Toc113273341 \h </w:instrText>
            </w:r>
            <w:r w:rsidR="00C45EA5">
              <w:rPr>
                <w:noProof/>
                <w:webHidden/>
              </w:rPr>
            </w:r>
            <w:r w:rsidR="00C45EA5">
              <w:rPr>
                <w:noProof/>
                <w:webHidden/>
              </w:rPr>
              <w:fldChar w:fldCharType="separate"/>
            </w:r>
            <w:r w:rsidR="00C45EA5">
              <w:rPr>
                <w:noProof/>
                <w:webHidden/>
              </w:rPr>
              <w:t>2</w:t>
            </w:r>
            <w:r w:rsidR="00C45EA5">
              <w:rPr>
                <w:noProof/>
                <w:webHidden/>
              </w:rPr>
              <w:fldChar w:fldCharType="end"/>
            </w:r>
          </w:hyperlink>
        </w:p>
        <w:p w14:paraId="401E90A2" w14:textId="77777777" w:rsidR="00C45EA5" w:rsidRDefault="00411601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</w:rPr>
          </w:pPr>
          <w:hyperlink w:anchor="_Toc113273342" w:history="1">
            <w:r w:rsidR="00C45EA5" w:rsidRPr="00BB21BD">
              <w:rPr>
                <w:rStyle w:val="Hyperlink"/>
                <w:noProof/>
                <w:lang w:val="sr-Cyrl-CS"/>
              </w:rPr>
              <w:t>4.</w:t>
            </w:r>
            <w:r w:rsidR="00C45EA5">
              <w:rPr>
                <w:rFonts w:eastAsiaTheme="minorEastAsia"/>
                <w:noProof/>
              </w:rPr>
              <w:tab/>
            </w:r>
            <w:r w:rsidR="00C45EA5" w:rsidRPr="00BB21BD">
              <w:rPr>
                <w:rStyle w:val="Hyperlink"/>
                <w:noProof/>
                <w:lang w:val="sr-Cyrl-CS"/>
              </w:rPr>
              <w:t>ЗАКЉУЧАК</w:t>
            </w:r>
            <w:r w:rsidR="00C45EA5">
              <w:rPr>
                <w:noProof/>
                <w:webHidden/>
              </w:rPr>
              <w:tab/>
            </w:r>
            <w:r w:rsidR="00C45EA5">
              <w:rPr>
                <w:noProof/>
                <w:webHidden/>
              </w:rPr>
              <w:fldChar w:fldCharType="begin"/>
            </w:r>
            <w:r w:rsidR="00C45EA5">
              <w:rPr>
                <w:noProof/>
                <w:webHidden/>
              </w:rPr>
              <w:instrText xml:space="preserve"> PAGEREF _Toc113273342 \h </w:instrText>
            </w:r>
            <w:r w:rsidR="00C45EA5">
              <w:rPr>
                <w:noProof/>
                <w:webHidden/>
              </w:rPr>
            </w:r>
            <w:r w:rsidR="00C45EA5">
              <w:rPr>
                <w:noProof/>
                <w:webHidden/>
              </w:rPr>
              <w:fldChar w:fldCharType="separate"/>
            </w:r>
            <w:r w:rsidR="00C45EA5">
              <w:rPr>
                <w:noProof/>
                <w:webHidden/>
              </w:rPr>
              <w:t>3</w:t>
            </w:r>
            <w:r w:rsidR="00C45EA5">
              <w:rPr>
                <w:noProof/>
                <w:webHidden/>
              </w:rPr>
              <w:fldChar w:fldCharType="end"/>
            </w:r>
          </w:hyperlink>
        </w:p>
        <w:p w14:paraId="6F9F7E53" w14:textId="77777777" w:rsidR="00C45EA5" w:rsidRDefault="00411601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</w:rPr>
          </w:pPr>
          <w:hyperlink w:anchor="_Toc113273343" w:history="1">
            <w:r w:rsidR="00C45EA5" w:rsidRPr="00BB21BD">
              <w:rPr>
                <w:rStyle w:val="Hyperlink"/>
                <w:noProof/>
                <w:lang w:val="sr-Cyrl-CS"/>
              </w:rPr>
              <w:t>5.</w:t>
            </w:r>
            <w:r w:rsidR="00C45EA5">
              <w:rPr>
                <w:rFonts w:eastAsiaTheme="minorEastAsia"/>
                <w:noProof/>
              </w:rPr>
              <w:tab/>
            </w:r>
            <w:r w:rsidR="00C45EA5" w:rsidRPr="00BB21BD">
              <w:rPr>
                <w:rStyle w:val="Hyperlink"/>
                <w:noProof/>
                <w:lang w:val="sr-Cyrl-CS"/>
              </w:rPr>
              <w:t>ПРИЛОЗИ</w:t>
            </w:r>
            <w:r w:rsidR="00C45EA5">
              <w:rPr>
                <w:noProof/>
                <w:webHidden/>
              </w:rPr>
              <w:tab/>
            </w:r>
            <w:r w:rsidR="00C45EA5">
              <w:rPr>
                <w:noProof/>
                <w:webHidden/>
              </w:rPr>
              <w:fldChar w:fldCharType="begin"/>
            </w:r>
            <w:r w:rsidR="00C45EA5">
              <w:rPr>
                <w:noProof/>
                <w:webHidden/>
              </w:rPr>
              <w:instrText xml:space="preserve"> PAGEREF _Toc113273343 \h </w:instrText>
            </w:r>
            <w:r w:rsidR="00C45EA5">
              <w:rPr>
                <w:noProof/>
                <w:webHidden/>
              </w:rPr>
            </w:r>
            <w:r w:rsidR="00C45EA5">
              <w:rPr>
                <w:noProof/>
                <w:webHidden/>
              </w:rPr>
              <w:fldChar w:fldCharType="separate"/>
            </w:r>
            <w:r w:rsidR="00C45EA5">
              <w:rPr>
                <w:noProof/>
                <w:webHidden/>
              </w:rPr>
              <w:t>3</w:t>
            </w:r>
            <w:r w:rsidR="00C45EA5">
              <w:rPr>
                <w:noProof/>
                <w:webHidden/>
              </w:rPr>
              <w:fldChar w:fldCharType="end"/>
            </w:r>
          </w:hyperlink>
        </w:p>
        <w:p w14:paraId="041C6604" w14:textId="26D6440B" w:rsidR="00122CD2" w:rsidRDefault="00122CD2">
          <w:r>
            <w:rPr>
              <w:b/>
              <w:bCs/>
              <w:noProof/>
            </w:rPr>
            <w:fldChar w:fldCharType="end"/>
          </w:r>
        </w:p>
      </w:sdtContent>
    </w:sdt>
    <w:p w14:paraId="0D1E099C" w14:textId="77777777" w:rsidR="003A443C" w:rsidRPr="00AA6716" w:rsidRDefault="003A443C">
      <w:pPr>
        <w:rPr>
          <w:b/>
          <w:noProof/>
          <w:sz w:val="32"/>
          <w:szCs w:val="32"/>
          <w:lang w:val="sr-Cyrl-CS"/>
        </w:rPr>
        <w:sectPr w:rsidR="003A443C" w:rsidRPr="00AA6716" w:rsidSect="00E81AAD">
          <w:footerReference w:type="even" r:id="rId8"/>
          <w:footerReference w:type="default" r:id="rId9"/>
          <w:footerReference w:type="first" r:id="rId10"/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4634D75" w14:textId="68E7EFEF" w:rsidR="00923327" w:rsidRDefault="00574072" w:rsidP="0020119B">
      <w:pPr>
        <w:pStyle w:val="Heading1"/>
        <w:numPr>
          <w:ilvl w:val="0"/>
          <w:numId w:val="1"/>
        </w:numPr>
        <w:spacing w:before="120" w:after="120"/>
        <w:ind w:left="357" w:hanging="357"/>
        <w:rPr>
          <w:noProof/>
          <w:lang w:val="sr-Cyrl-CS"/>
        </w:rPr>
      </w:pPr>
      <w:bookmarkStart w:id="0" w:name="_Toc113273339"/>
      <w:r>
        <w:rPr>
          <w:noProof/>
          <w:lang w:val="sr-Cyrl-CS"/>
        </w:rPr>
        <w:lastRenderedPageBreak/>
        <w:t>ОБРАЗЛОЖЕЊЕ ПРВЕ ИЗМЕНЕ ПРОГРАМА ПОСЛОВАЊА</w:t>
      </w:r>
      <w:bookmarkEnd w:id="0"/>
    </w:p>
    <w:p w14:paraId="345828BE" w14:textId="712A2EDD" w:rsidR="00574072" w:rsidRDefault="00574072" w:rsidP="00164C05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 w:rsidRPr="00574072">
        <w:rPr>
          <w:noProof/>
          <w:sz w:val="24"/>
          <w:szCs w:val="24"/>
          <w:lang w:val="sr-Cyrl-CS"/>
        </w:rPr>
        <w:t xml:space="preserve">У складу са чланом 60. став 2. Закона о јавним предузећима („Службени гласник РС“, бр. </w:t>
      </w:r>
      <w:r w:rsidR="00164C05" w:rsidRPr="00164C05">
        <w:rPr>
          <w:noProof/>
          <w:sz w:val="24"/>
          <w:szCs w:val="24"/>
          <w:lang w:val="sr-Cyrl-CS"/>
        </w:rPr>
        <w:t xml:space="preserve">15/2016 </w:t>
      </w:r>
      <w:r w:rsidR="00164C05">
        <w:rPr>
          <w:noProof/>
          <w:sz w:val="24"/>
          <w:szCs w:val="24"/>
          <w:lang w:val="sr-Cyrl-RS"/>
        </w:rPr>
        <w:t>и</w:t>
      </w:r>
      <w:r w:rsidR="00164C05" w:rsidRPr="00164C05">
        <w:rPr>
          <w:noProof/>
          <w:sz w:val="24"/>
          <w:szCs w:val="24"/>
          <w:lang w:val="sr-Cyrl-CS"/>
        </w:rPr>
        <w:t xml:space="preserve"> 88/2019</w:t>
      </w:r>
      <w:r w:rsidRPr="00574072">
        <w:rPr>
          <w:noProof/>
          <w:sz w:val="24"/>
          <w:szCs w:val="24"/>
          <w:lang w:val="sr-Cyrl-CS"/>
        </w:rPr>
        <w:t>)</w:t>
      </w:r>
      <w:r>
        <w:rPr>
          <w:noProof/>
          <w:sz w:val="24"/>
          <w:szCs w:val="24"/>
          <w:lang w:val="sr-Cyrl-CS"/>
        </w:rPr>
        <w:t xml:space="preserve">, измене Програма </w:t>
      </w:r>
      <w:r w:rsidR="002F3046">
        <w:rPr>
          <w:noProof/>
          <w:sz w:val="24"/>
          <w:szCs w:val="24"/>
          <w:lang w:val="sr-Cyrl-CS"/>
        </w:rPr>
        <w:t>пословања</w:t>
      </w:r>
      <w:r>
        <w:rPr>
          <w:noProof/>
          <w:sz w:val="24"/>
          <w:szCs w:val="24"/>
          <w:lang w:val="sr-Cyrl-CS"/>
        </w:rPr>
        <w:t xml:space="preserve"> за 2022. годину вршимо због битних промена током текуће године и то: </w:t>
      </w:r>
    </w:p>
    <w:p w14:paraId="19C91807" w14:textId="68C89612" w:rsidR="00574072" w:rsidRDefault="00164C05" w:rsidP="00164C05">
      <w:pPr>
        <w:pStyle w:val="ListParagraph"/>
        <w:numPr>
          <w:ilvl w:val="0"/>
          <w:numId w:val="14"/>
        </w:numPr>
        <w:spacing w:after="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н</w:t>
      </w:r>
      <w:r w:rsidR="00574072">
        <w:rPr>
          <w:noProof/>
          <w:sz w:val="24"/>
          <w:szCs w:val="24"/>
          <w:lang w:val="sr-Cyrl-CS"/>
        </w:rPr>
        <w:t xml:space="preserve">емогућност завршетка – пуштања у функцију топлификационе зоне „Југ“ и стварања услова за нове кориснике услуга грејања (основна и средња школа са спортским халама, дом здравља и стамбена зграда код цркве), а самим тим и очекиваног и планираног прихода у </w:t>
      </w:r>
      <w:r w:rsidR="002F3046">
        <w:rPr>
          <w:noProof/>
          <w:sz w:val="24"/>
          <w:szCs w:val="24"/>
        </w:rPr>
        <w:t>IV</w:t>
      </w:r>
      <w:r w:rsidR="00574072">
        <w:rPr>
          <w:noProof/>
          <w:sz w:val="24"/>
          <w:szCs w:val="24"/>
          <w:lang w:val="sr-Cyrl-CS"/>
        </w:rPr>
        <w:t xml:space="preserve"> кварталу, што је и Програмом за 2022. годину обухваћено. Према усвојеном Програму пословања планирано је повећање услуге грејања за 9.294 </w:t>
      </w:r>
      <w:r w:rsidR="002F3046">
        <w:rPr>
          <w:noProof/>
          <w:sz w:val="24"/>
          <w:szCs w:val="24"/>
          <w:lang w:val="sr-Latn-RS"/>
        </w:rPr>
        <w:t>m</w:t>
      </w:r>
      <w:r w:rsidR="00574072" w:rsidRPr="002F3046">
        <w:rPr>
          <w:noProof/>
          <w:sz w:val="24"/>
          <w:szCs w:val="24"/>
          <w:vertAlign w:val="superscript"/>
          <w:lang w:val="sr-Cyrl-CS"/>
        </w:rPr>
        <w:t>2</w:t>
      </w:r>
      <w:r w:rsidR="00574072">
        <w:rPr>
          <w:noProof/>
          <w:sz w:val="24"/>
          <w:szCs w:val="24"/>
          <w:lang w:val="sr-Cyrl-CS"/>
        </w:rPr>
        <w:t xml:space="preserve"> нове грејне површине. </w:t>
      </w:r>
    </w:p>
    <w:p w14:paraId="72321F48" w14:textId="77777777" w:rsidR="002F3046" w:rsidRDefault="00164C05" w:rsidP="00164C05">
      <w:pPr>
        <w:pStyle w:val="ListParagraph"/>
        <w:numPr>
          <w:ilvl w:val="0"/>
          <w:numId w:val="14"/>
        </w:numPr>
        <w:spacing w:after="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н</w:t>
      </w:r>
      <w:r w:rsidR="00574072">
        <w:rPr>
          <w:noProof/>
          <w:sz w:val="24"/>
          <w:szCs w:val="24"/>
          <w:lang w:val="sr-Cyrl-CS"/>
        </w:rPr>
        <w:t xml:space="preserve">ове Одлуке о тарифним ценама топлотне енергије по тарифним групама са применом од 01.10.2022. године, а све у складу са Одлуком Надзорног одбора ЈКП „Градска топлана“ Косјерић, закључком Општинског већа и сагласности Скупштине општине Ксојерић број 06-39/2022 од 22.08.2022. године. </w:t>
      </w:r>
    </w:p>
    <w:p w14:paraId="5B407932" w14:textId="21D7E179" w:rsidR="00574072" w:rsidRDefault="00574072" w:rsidP="002F3046">
      <w:pPr>
        <w:pStyle w:val="ListParagraph"/>
        <w:spacing w:after="0"/>
        <w:ind w:left="92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 усвојеном Програму пословања, цена топлотне енергије је 104,62 дин/</w:t>
      </w:r>
      <w:r w:rsidR="002F3046">
        <w:rPr>
          <w:noProof/>
          <w:sz w:val="24"/>
          <w:szCs w:val="24"/>
          <w:lang w:val="sr-Latn-RS"/>
        </w:rPr>
        <w:t>m</w:t>
      </w:r>
      <w:r w:rsidR="002F3046" w:rsidRPr="002F3046">
        <w:rPr>
          <w:noProof/>
          <w:sz w:val="24"/>
          <w:szCs w:val="24"/>
          <w:vertAlign w:val="superscript"/>
          <w:lang w:val="sr-Cyrl-CS"/>
        </w:rPr>
        <w:t>2</w:t>
      </w:r>
      <w:r w:rsidR="00BE4CC5">
        <w:rPr>
          <w:noProof/>
          <w:sz w:val="24"/>
          <w:szCs w:val="24"/>
          <w:lang w:val="sr-Cyrl-CS"/>
        </w:rPr>
        <w:t xml:space="preserve">, </w:t>
      </w:r>
      <w:r>
        <w:rPr>
          <w:noProof/>
          <w:sz w:val="24"/>
          <w:szCs w:val="24"/>
          <w:lang w:val="sr-Cyrl-CS"/>
        </w:rPr>
        <w:t>а од 01.10.2022. године је 143,00 дин/</w:t>
      </w:r>
      <w:r w:rsidR="002F3046">
        <w:rPr>
          <w:noProof/>
          <w:sz w:val="24"/>
          <w:szCs w:val="24"/>
          <w:lang w:val="sr-Latn-RS"/>
        </w:rPr>
        <w:t>m</w:t>
      </w:r>
      <w:r w:rsidR="002F3046" w:rsidRPr="002F3046">
        <w:rPr>
          <w:noProof/>
          <w:sz w:val="24"/>
          <w:szCs w:val="24"/>
          <w:vertAlign w:val="superscript"/>
          <w:lang w:val="sr-Cyrl-CS"/>
        </w:rPr>
        <w:t>2</w:t>
      </w:r>
      <w:r>
        <w:rPr>
          <w:noProof/>
          <w:sz w:val="24"/>
          <w:szCs w:val="24"/>
          <w:lang w:val="sr-Cyrl-CS"/>
        </w:rPr>
        <w:t xml:space="preserve"> за стамбене објекте. За пословне кориснике у Програму је цена 313,86 дин/</w:t>
      </w:r>
      <w:r w:rsidR="002F3046">
        <w:rPr>
          <w:noProof/>
          <w:sz w:val="24"/>
          <w:szCs w:val="24"/>
          <w:lang w:val="sr-Latn-RS"/>
        </w:rPr>
        <w:t>m</w:t>
      </w:r>
      <w:r w:rsidR="002F3046" w:rsidRPr="002F3046">
        <w:rPr>
          <w:noProof/>
          <w:sz w:val="24"/>
          <w:szCs w:val="24"/>
          <w:vertAlign w:val="superscript"/>
          <w:lang w:val="sr-Cyrl-CS"/>
        </w:rPr>
        <w:t>2</w:t>
      </w:r>
      <w:r>
        <w:rPr>
          <w:noProof/>
          <w:sz w:val="24"/>
          <w:szCs w:val="24"/>
          <w:lang w:val="sr-Cyrl-CS"/>
        </w:rPr>
        <w:t>, а од 01.10.2022. године је 429,00 дин/</w:t>
      </w:r>
      <w:r w:rsidR="002F3046">
        <w:rPr>
          <w:noProof/>
          <w:sz w:val="24"/>
          <w:szCs w:val="24"/>
          <w:lang w:val="sr-Latn-RS"/>
        </w:rPr>
        <w:t>m</w:t>
      </w:r>
      <w:r w:rsidR="002F3046" w:rsidRPr="002F3046">
        <w:rPr>
          <w:noProof/>
          <w:sz w:val="24"/>
          <w:szCs w:val="24"/>
          <w:vertAlign w:val="superscript"/>
          <w:lang w:val="sr-Cyrl-CS"/>
        </w:rPr>
        <w:t>2</w:t>
      </w:r>
      <w:r>
        <w:rPr>
          <w:noProof/>
          <w:sz w:val="24"/>
          <w:szCs w:val="24"/>
          <w:lang w:val="sr-Cyrl-CS"/>
        </w:rPr>
        <w:t xml:space="preserve">. Са овим повећањем цена мења се и приход у </w:t>
      </w:r>
      <w:r w:rsidR="002F3046">
        <w:rPr>
          <w:noProof/>
          <w:sz w:val="24"/>
          <w:szCs w:val="24"/>
          <w:lang w:val="sr-Latn-RS"/>
        </w:rPr>
        <w:t>IV</w:t>
      </w:r>
      <w:r>
        <w:rPr>
          <w:noProof/>
          <w:sz w:val="24"/>
          <w:szCs w:val="24"/>
          <w:lang w:val="sr-Cyrl-CS"/>
        </w:rPr>
        <w:t xml:space="preserve"> кварталу 2022. године. </w:t>
      </w:r>
    </w:p>
    <w:p w14:paraId="6F1AFA64" w14:textId="52CB1A9C" w:rsidR="00574072" w:rsidRDefault="00164C05" w:rsidP="00164C05">
      <w:pPr>
        <w:pStyle w:val="ListParagraph"/>
        <w:numPr>
          <w:ilvl w:val="0"/>
          <w:numId w:val="14"/>
        </w:numPr>
        <w:spacing w:after="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у</w:t>
      </w:r>
      <w:r w:rsidR="00574072">
        <w:rPr>
          <w:noProof/>
          <w:sz w:val="24"/>
          <w:szCs w:val="24"/>
          <w:lang w:val="sr-Cyrl-CS"/>
        </w:rPr>
        <w:t xml:space="preserve"> усвојеном Програму </w:t>
      </w:r>
      <w:r w:rsidR="00BE4CC5">
        <w:rPr>
          <w:noProof/>
          <w:sz w:val="24"/>
          <w:szCs w:val="24"/>
          <w:lang w:val="sr-Cyrl-CS"/>
        </w:rPr>
        <w:t>пословања</w:t>
      </w:r>
      <w:r w:rsidR="00574072">
        <w:rPr>
          <w:noProof/>
          <w:sz w:val="24"/>
          <w:szCs w:val="24"/>
          <w:lang w:val="sr-Cyrl-CS"/>
        </w:rPr>
        <w:t>, субвенција Оснивача је била планирана у износу</w:t>
      </w:r>
      <w:r w:rsidR="00BE4CC5">
        <w:rPr>
          <w:noProof/>
          <w:sz w:val="24"/>
          <w:szCs w:val="24"/>
          <w:lang w:val="sr-Cyrl-CS"/>
        </w:rPr>
        <w:t xml:space="preserve"> од 2,5 милиона динара за покри</w:t>
      </w:r>
      <w:r w:rsidR="00574072">
        <w:rPr>
          <w:noProof/>
          <w:sz w:val="24"/>
          <w:szCs w:val="24"/>
          <w:lang w:val="sr-Cyrl-CS"/>
        </w:rPr>
        <w:t xml:space="preserve">ће дела трошкова енергената. Ради опстанка и функционисања предузећа и завршетка грејне 2021/22 и </w:t>
      </w:r>
      <w:r w:rsidR="00BE4CC5">
        <w:rPr>
          <w:noProof/>
          <w:sz w:val="24"/>
          <w:szCs w:val="24"/>
          <w:lang w:val="sr-Cyrl-CS"/>
        </w:rPr>
        <w:t>стварање услова за почетак грејне 2022/23, Ос</w:t>
      </w:r>
      <w:r w:rsidR="00574072">
        <w:rPr>
          <w:noProof/>
          <w:sz w:val="24"/>
          <w:szCs w:val="24"/>
          <w:lang w:val="sr-Cyrl-CS"/>
        </w:rPr>
        <w:t xml:space="preserve">нивач је донео одлуку да покрије целокупан утрошак гаса за период јануар-април 2022. </w:t>
      </w:r>
      <w:r w:rsidR="00BE4CC5">
        <w:rPr>
          <w:noProof/>
          <w:sz w:val="24"/>
          <w:szCs w:val="24"/>
          <w:lang w:val="sr-Cyrl-CS"/>
        </w:rPr>
        <w:t>године</w:t>
      </w:r>
      <w:r w:rsidR="00574072">
        <w:rPr>
          <w:noProof/>
          <w:sz w:val="24"/>
          <w:szCs w:val="24"/>
          <w:lang w:val="sr-Cyrl-CS"/>
        </w:rPr>
        <w:t xml:space="preserve"> у висини од 7.050.000,00 динара, тако да је укуп</w:t>
      </w:r>
      <w:r w:rsidR="00BE4CC5">
        <w:rPr>
          <w:noProof/>
          <w:sz w:val="24"/>
          <w:szCs w:val="24"/>
          <w:lang w:val="sr-Cyrl-CS"/>
        </w:rPr>
        <w:t>на субвенција Оснивача за 2022.</w:t>
      </w:r>
      <w:r w:rsidR="00574072">
        <w:rPr>
          <w:noProof/>
          <w:sz w:val="24"/>
          <w:szCs w:val="24"/>
          <w:lang w:val="sr-Cyrl-CS"/>
        </w:rPr>
        <w:t xml:space="preserve"> годину 8.800.000,00 динара. </w:t>
      </w:r>
    </w:p>
    <w:p w14:paraId="2DF6CFA0" w14:textId="3557ECAD" w:rsidR="003B5BF9" w:rsidRDefault="003B5BF9" w:rsidP="00164C05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Из наведених разлога дошло је до суштинским промена у односу на усвојени Програм пословања за 2022. годину, па се у складу са тим врше измене Програма пословања за 2022. годину</w:t>
      </w:r>
      <w:r w:rsidR="0020119B">
        <w:rPr>
          <w:noProof/>
          <w:sz w:val="24"/>
          <w:szCs w:val="24"/>
          <w:lang w:val="sr-Cyrl-CS"/>
        </w:rPr>
        <w:t>, у складу са Законом</w:t>
      </w:r>
      <w:r>
        <w:rPr>
          <w:noProof/>
          <w:sz w:val="24"/>
          <w:szCs w:val="24"/>
          <w:lang w:val="sr-Cyrl-CS"/>
        </w:rPr>
        <w:t xml:space="preserve">. </w:t>
      </w:r>
    </w:p>
    <w:p w14:paraId="44751854" w14:textId="3B55993C" w:rsidR="002425DD" w:rsidRDefault="003B5BF9" w:rsidP="0020119B">
      <w:pPr>
        <w:pStyle w:val="Heading1"/>
        <w:numPr>
          <w:ilvl w:val="0"/>
          <w:numId w:val="1"/>
        </w:numPr>
        <w:spacing w:before="120" w:after="120"/>
        <w:ind w:left="357" w:hanging="357"/>
        <w:rPr>
          <w:noProof/>
          <w:lang w:val="sr-Cyrl-CS"/>
        </w:rPr>
      </w:pPr>
      <w:bookmarkStart w:id="1" w:name="_Toc113273340"/>
      <w:r>
        <w:rPr>
          <w:noProof/>
          <w:lang w:val="sr-Cyrl-CS"/>
        </w:rPr>
        <w:t>ПЛАНИРАНИ ФИЗИЧКИ ОБИМ АКТИВНОСТИ</w:t>
      </w:r>
      <w:bookmarkEnd w:id="1"/>
    </w:p>
    <w:p w14:paraId="5DE460A5" w14:textId="46213921" w:rsidR="003B5BF9" w:rsidRDefault="003B5BF9" w:rsidP="0020119B">
      <w:pPr>
        <w:spacing w:after="12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Према усвојено</w:t>
      </w:r>
      <w:r w:rsidR="00A6566A">
        <w:rPr>
          <w:noProof/>
          <w:sz w:val="24"/>
          <w:szCs w:val="24"/>
          <w:lang w:val="sr-Cyrl-CS"/>
        </w:rPr>
        <w:t>м Програму пословања за 2022. г</w:t>
      </w:r>
      <w:bookmarkStart w:id="2" w:name="_GoBack"/>
      <w:bookmarkEnd w:id="2"/>
      <w:r>
        <w:rPr>
          <w:noProof/>
          <w:sz w:val="24"/>
          <w:szCs w:val="24"/>
          <w:lang w:val="sr-Cyrl-CS"/>
        </w:rPr>
        <w:t xml:space="preserve">одину, планирано је за </w:t>
      </w:r>
      <w:r w:rsidR="0020119B">
        <w:rPr>
          <w:noProof/>
          <w:sz w:val="24"/>
          <w:szCs w:val="24"/>
          <w:lang w:val="sr-Latn-RS"/>
        </w:rPr>
        <w:t>IV</w:t>
      </w:r>
      <w:r>
        <w:rPr>
          <w:noProof/>
          <w:sz w:val="24"/>
          <w:szCs w:val="24"/>
          <w:lang w:val="sr-Cyrl-CS"/>
        </w:rPr>
        <w:t xml:space="preserve"> квартал 2022. године проширење система даљинског грејања за нових 9.294 </w:t>
      </w:r>
      <w:r w:rsidR="0020119B">
        <w:rPr>
          <w:noProof/>
          <w:sz w:val="24"/>
          <w:szCs w:val="24"/>
          <w:lang w:val="sr-Latn-RS"/>
        </w:rPr>
        <w:t>m</w:t>
      </w:r>
      <w:r w:rsidR="0020119B" w:rsidRPr="002F3046">
        <w:rPr>
          <w:noProof/>
          <w:sz w:val="24"/>
          <w:szCs w:val="24"/>
          <w:vertAlign w:val="superscript"/>
          <w:lang w:val="sr-Cyrl-CS"/>
        </w:rPr>
        <w:t>2</w:t>
      </w:r>
      <w:r w:rsidR="0020119B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 xml:space="preserve">грејне површине (основна и средња школа са спортским халама, дом здравља и стамбена зграда код цркве) и као таква, планирана је производња од 18,5 ТЈ и потрошња од 622.800 </w:t>
      </w:r>
      <w:r w:rsidR="0020119B">
        <w:rPr>
          <w:noProof/>
          <w:sz w:val="24"/>
          <w:szCs w:val="24"/>
          <w:lang w:val="sr-Latn-RS"/>
        </w:rPr>
        <w:t>m</w:t>
      </w:r>
      <w:r w:rsidR="0020119B">
        <w:rPr>
          <w:noProof/>
          <w:sz w:val="24"/>
          <w:szCs w:val="24"/>
          <w:vertAlign w:val="superscript"/>
          <w:lang w:val="sr-Latn-RS"/>
        </w:rPr>
        <w:t>3</w:t>
      </w:r>
      <w:r w:rsidR="0020119B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 xml:space="preserve">природног гаса као примарног енергента. С обзиром на то да се таква планирана производња неће остварити, очекивано је да у целој 2022. години произведемо и испоручимо 13,34 ТЈ топлотне енергије (табела 1). </w:t>
      </w:r>
    </w:p>
    <w:p w14:paraId="41B71F99" w14:textId="1F77790B" w:rsidR="0020119B" w:rsidRPr="0020119B" w:rsidRDefault="0020119B" w:rsidP="0020119B">
      <w:pPr>
        <w:spacing w:after="0"/>
        <w:jc w:val="both"/>
        <w:rPr>
          <w:i/>
          <w:noProof/>
          <w:sz w:val="24"/>
          <w:szCs w:val="24"/>
          <w:u w:val="single"/>
          <w:lang w:val="sr-Cyrl-RS"/>
        </w:rPr>
      </w:pPr>
      <w:r w:rsidRPr="0020119B">
        <w:rPr>
          <w:i/>
          <w:noProof/>
          <w:sz w:val="24"/>
          <w:szCs w:val="24"/>
          <w:u w:val="single"/>
          <w:lang w:val="sr-Cyrl-RS"/>
        </w:rPr>
        <w:t>Т</w:t>
      </w:r>
      <w:r w:rsidR="00450260">
        <w:rPr>
          <w:i/>
          <w:noProof/>
          <w:sz w:val="24"/>
          <w:szCs w:val="24"/>
          <w:u w:val="single"/>
          <w:lang w:val="sr-Cyrl-RS"/>
        </w:rPr>
        <w:t>абела 1</w:t>
      </w:r>
      <w:r w:rsidRPr="0020119B">
        <w:rPr>
          <w:i/>
          <w:noProof/>
          <w:sz w:val="24"/>
          <w:szCs w:val="24"/>
          <w:u w:val="single"/>
          <w:lang w:val="sr-Cyrl-R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3402"/>
        <w:gridCol w:w="3680"/>
      </w:tblGrid>
      <w:tr w:rsidR="003B5BF9" w14:paraId="537C1C50" w14:textId="77777777" w:rsidTr="0020119B">
        <w:tc>
          <w:tcPr>
            <w:tcW w:w="2547" w:type="dxa"/>
            <w:vAlign w:val="center"/>
          </w:tcPr>
          <w:p w14:paraId="79633BC3" w14:textId="77D7F581" w:rsidR="003B5BF9" w:rsidRPr="0020119B" w:rsidRDefault="003B5BF9" w:rsidP="0020119B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20119B">
              <w:rPr>
                <w:b/>
                <w:noProof/>
                <w:sz w:val="24"/>
                <w:szCs w:val="24"/>
                <w:lang w:val="sr-Cyrl-CS"/>
              </w:rPr>
              <w:t>Показатељи</w:t>
            </w:r>
          </w:p>
        </w:tc>
        <w:tc>
          <w:tcPr>
            <w:tcW w:w="3402" w:type="dxa"/>
            <w:vAlign w:val="center"/>
          </w:tcPr>
          <w:p w14:paraId="6EF8AC29" w14:textId="7C7FD32A" w:rsidR="003B5BF9" w:rsidRPr="0020119B" w:rsidRDefault="003B5BF9" w:rsidP="0020119B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20119B">
              <w:rPr>
                <w:b/>
                <w:noProof/>
                <w:sz w:val="24"/>
                <w:szCs w:val="24"/>
                <w:lang w:val="sr-Cyrl-CS"/>
              </w:rPr>
              <w:t>Усвојен Програм за 2022. годину</w:t>
            </w:r>
          </w:p>
        </w:tc>
        <w:tc>
          <w:tcPr>
            <w:tcW w:w="3680" w:type="dxa"/>
            <w:vAlign w:val="center"/>
          </w:tcPr>
          <w:p w14:paraId="54F198B4" w14:textId="7E14E643" w:rsidR="003B5BF9" w:rsidRPr="0020119B" w:rsidRDefault="003B5BF9" w:rsidP="0020119B">
            <w:pPr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20119B">
              <w:rPr>
                <w:b/>
                <w:noProof/>
                <w:sz w:val="24"/>
                <w:szCs w:val="24"/>
                <w:lang w:val="sr-Cyrl-CS"/>
              </w:rPr>
              <w:t>Измене Програма за 2022. годину</w:t>
            </w:r>
          </w:p>
        </w:tc>
      </w:tr>
      <w:tr w:rsidR="003B5BF9" w14:paraId="253E0700" w14:textId="77777777" w:rsidTr="0020119B">
        <w:tc>
          <w:tcPr>
            <w:tcW w:w="2547" w:type="dxa"/>
          </w:tcPr>
          <w:p w14:paraId="5B570A9E" w14:textId="62025762" w:rsidR="003B5BF9" w:rsidRDefault="003B5BF9" w:rsidP="00D060C2">
            <w:pPr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Бруто производња</w:t>
            </w:r>
          </w:p>
        </w:tc>
        <w:tc>
          <w:tcPr>
            <w:tcW w:w="3402" w:type="dxa"/>
            <w:vAlign w:val="center"/>
          </w:tcPr>
          <w:p w14:paraId="353F3C45" w14:textId="26E6CDC8" w:rsidR="003B5BF9" w:rsidRDefault="003B5BF9" w:rsidP="0020119B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18,5 ТЈ</w:t>
            </w:r>
          </w:p>
        </w:tc>
        <w:tc>
          <w:tcPr>
            <w:tcW w:w="3680" w:type="dxa"/>
            <w:vAlign w:val="center"/>
          </w:tcPr>
          <w:p w14:paraId="55F7F9FB" w14:textId="345F475E" w:rsidR="003B5BF9" w:rsidRDefault="003B5BF9" w:rsidP="0020119B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13,34 ТЈ</w:t>
            </w:r>
          </w:p>
        </w:tc>
      </w:tr>
      <w:tr w:rsidR="003B5BF9" w14:paraId="57C7466F" w14:textId="77777777" w:rsidTr="0020119B">
        <w:tc>
          <w:tcPr>
            <w:tcW w:w="2547" w:type="dxa"/>
          </w:tcPr>
          <w:p w14:paraId="579F454B" w14:textId="60C0E3D3" w:rsidR="003B5BF9" w:rsidRDefault="003B5BF9" w:rsidP="00D060C2">
            <w:pPr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 xml:space="preserve">Губици у дистрибуцији </w:t>
            </w:r>
          </w:p>
        </w:tc>
        <w:tc>
          <w:tcPr>
            <w:tcW w:w="3402" w:type="dxa"/>
            <w:vAlign w:val="center"/>
          </w:tcPr>
          <w:p w14:paraId="1432343A" w14:textId="52CCA7AA" w:rsidR="003B5BF9" w:rsidRDefault="003B5BF9" w:rsidP="0020119B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2,4 ТЈ</w:t>
            </w:r>
          </w:p>
        </w:tc>
        <w:tc>
          <w:tcPr>
            <w:tcW w:w="3680" w:type="dxa"/>
            <w:vAlign w:val="center"/>
          </w:tcPr>
          <w:p w14:paraId="650A50B6" w14:textId="7FABC062" w:rsidR="003B5BF9" w:rsidRDefault="003B5BF9" w:rsidP="0020119B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1,34 ТЈ</w:t>
            </w:r>
          </w:p>
        </w:tc>
      </w:tr>
      <w:tr w:rsidR="003B5BF9" w14:paraId="23DA6B6B" w14:textId="77777777" w:rsidTr="0020119B">
        <w:tc>
          <w:tcPr>
            <w:tcW w:w="2547" w:type="dxa"/>
          </w:tcPr>
          <w:p w14:paraId="12E5F4E2" w14:textId="59B1704F" w:rsidR="003B5BF9" w:rsidRDefault="003B5BF9" w:rsidP="00D060C2">
            <w:pPr>
              <w:jc w:val="both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Финална потрошња</w:t>
            </w:r>
          </w:p>
        </w:tc>
        <w:tc>
          <w:tcPr>
            <w:tcW w:w="3402" w:type="dxa"/>
            <w:vAlign w:val="center"/>
          </w:tcPr>
          <w:p w14:paraId="1AF02C70" w14:textId="1CD2366C" w:rsidR="003B5BF9" w:rsidRDefault="003B5BF9" w:rsidP="0020119B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16,46 ТЈ</w:t>
            </w:r>
          </w:p>
        </w:tc>
        <w:tc>
          <w:tcPr>
            <w:tcW w:w="3680" w:type="dxa"/>
            <w:vAlign w:val="center"/>
          </w:tcPr>
          <w:p w14:paraId="0AE59038" w14:textId="5EA32F2E" w:rsidR="003B5BF9" w:rsidRDefault="003B5BF9" w:rsidP="0020119B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12,00 ТЈ</w:t>
            </w:r>
          </w:p>
        </w:tc>
      </w:tr>
    </w:tbl>
    <w:p w14:paraId="33AF17E0" w14:textId="77777777" w:rsidR="003B5BF9" w:rsidRDefault="003B5BF9" w:rsidP="00D060C2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</w:p>
    <w:p w14:paraId="1D5C8F95" w14:textId="265276A9" w:rsidR="003B5BF9" w:rsidRDefault="003B5BF9" w:rsidP="00D060C2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lastRenderedPageBreak/>
        <w:t xml:space="preserve">Количина примарног енергента – природног гаса са планираних 622.800 </w:t>
      </w:r>
      <w:r w:rsidR="0020119B">
        <w:rPr>
          <w:noProof/>
          <w:sz w:val="24"/>
          <w:szCs w:val="24"/>
          <w:lang w:val="sr-Latn-RS"/>
        </w:rPr>
        <w:t>m</w:t>
      </w:r>
      <w:r w:rsidR="0020119B">
        <w:rPr>
          <w:noProof/>
          <w:sz w:val="24"/>
          <w:szCs w:val="24"/>
          <w:vertAlign w:val="superscript"/>
          <w:lang w:val="sr-Latn-RS"/>
        </w:rPr>
        <w:t>3</w:t>
      </w:r>
      <w:r w:rsidR="0020119B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 xml:space="preserve">биће смањена за 35%, односно планирано је да буде утрошено 400.000 </w:t>
      </w:r>
      <w:r w:rsidR="0020119B">
        <w:rPr>
          <w:noProof/>
          <w:sz w:val="24"/>
          <w:szCs w:val="24"/>
          <w:lang w:val="sr-Latn-RS"/>
        </w:rPr>
        <w:t>m</w:t>
      </w:r>
      <w:r w:rsidR="0020119B">
        <w:rPr>
          <w:noProof/>
          <w:sz w:val="24"/>
          <w:szCs w:val="24"/>
          <w:vertAlign w:val="superscript"/>
          <w:lang w:val="sr-Latn-RS"/>
        </w:rPr>
        <w:t>3</w:t>
      </w:r>
      <w:r w:rsidR="0020119B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 xml:space="preserve">природног гаса за целу 2022. годину. </w:t>
      </w:r>
    </w:p>
    <w:p w14:paraId="399F348E" w14:textId="75B471C3" w:rsidR="00B002F2" w:rsidRDefault="003B5BF9" w:rsidP="0020119B">
      <w:pPr>
        <w:pStyle w:val="Heading1"/>
        <w:numPr>
          <w:ilvl w:val="0"/>
          <w:numId w:val="1"/>
        </w:numPr>
        <w:ind w:left="357" w:hanging="357"/>
        <w:jc w:val="both"/>
        <w:rPr>
          <w:noProof/>
          <w:lang w:val="sr-Cyrl-CS"/>
        </w:rPr>
      </w:pPr>
      <w:bookmarkStart w:id="3" w:name="_Toc113273341"/>
      <w:r>
        <w:rPr>
          <w:noProof/>
          <w:lang w:val="sr-Cyrl-CS"/>
        </w:rPr>
        <w:t>ПЛАНИРАНИ ИЗВОРИ ПРИХОДА И ПОЗИЦИЈЕ РАСХОДА ПО НАМЕНИ ЗА 2022. ГОДИНУ СА ОЧЕКИВАНИМ ИЗМЕНАМА</w:t>
      </w:r>
      <w:bookmarkEnd w:id="3"/>
    </w:p>
    <w:p w14:paraId="267D30D7" w14:textId="534D8F71" w:rsidR="003B5BF9" w:rsidRDefault="003B5BF9" w:rsidP="00450260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Према усвојеном Програму пословања за 2022. годину, планирана бруто производња </w:t>
      </w:r>
      <w:r w:rsidR="00450260">
        <w:rPr>
          <w:noProof/>
          <w:sz w:val="24"/>
          <w:szCs w:val="24"/>
          <w:lang w:val="sr-Cyrl-CS"/>
        </w:rPr>
        <w:t>топлотне енергије</w:t>
      </w:r>
      <w:r>
        <w:rPr>
          <w:noProof/>
          <w:sz w:val="24"/>
          <w:szCs w:val="24"/>
          <w:lang w:val="sr-Cyrl-CS"/>
        </w:rPr>
        <w:t xml:space="preserve"> од 18,5 ТЈ</w:t>
      </w:r>
      <w:r w:rsidR="00450260">
        <w:rPr>
          <w:noProof/>
          <w:sz w:val="24"/>
          <w:szCs w:val="24"/>
          <w:lang w:val="sr-Cyrl-CS"/>
        </w:rPr>
        <w:t>,</w:t>
      </w:r>
      <w:r>
        <w:rPr>
          <w:noProof/>
          <w:sz w:val="24"/>
          <w:szCs w:val="24"/>
          <w:lang w:val="sr-Cyrl-CS"/>
        </w:rPr>
        <w:t xml:space="preserve"> са утрошком од 622.800 </w:t>
      </w:r>
      <w:r w:rsidR="00450260">
        <w:rPr>
          <w:noProof/>
          <w:sz w:val="24"/>
          <w:szCs w:val="24"/>
          <w:lang w:val="sr-Latn-RS"/>
        </w:rPr>
        <w:t>m</w:t>
      </w:r>
      <w:r w:rsidR="00450260">
        <w:rPr>
          <w:noProof/>
          <w:sz w:val="24"/>
          <w:szCs w:val="24"/>
          <w:vertAlign w:val="superscript"/>
          <w:lang w:val="sr-Cyrl-CS"/>
        </w:rPr>
        <w:t>3</w:t>
      </w:r>
      <w:r w:rsidR="00450260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 xml:space="preserve">природног гаса и проширење </w:t>
      </w:r>
      <w:r w:rsidR="00450260">
        <w:rPr>
          <w:noProof/>
          <w:sz w:val="24"/>
          <w:szCs w:val="24"/>
          <w:lang w:val="sr-Cyrl-CS"/>
        </w:rPr>
        <w:t>грејне</w:t>
      </w:r>
      <w:r>
        <w:rPr>
          <w:noProof/>
          <w:sz w:val="24"/>
          <w:szCs w:val="24"/>
          <w:lang w:val="sr-Cyrl-CS"/>
        </w:rPr>
        <w:t xml:space="preserve"> повр</w:t>
      </w:r>
      <w:r w:rsidR="00450260">
        <w:rPr>
          <w:noProof/>
          <w:sz w:val="24"/>
          <w:szCs w:val="24"/>
          <w:lang w:val="sr-Cyrl-CS"/>
        </w:rPr>
        <w:t>ш</w:t>
      </w:r>
      <w:r>
        <w:rPr>
          <w:noProof/>
          <w:sz w:val="24"/>
          <w:szCs w:val="24"/>
          <w:lang w:val="sr-Cyrl-CS"/>
        </w:rPr>
        <w:t>ин</w:t>
      </w:r>
      <w:r w:rsidR="00450260">
        <w:rPr>
          <w:noProof/>
          <w:sz w:val="24"/>
          <w:szCs w:val="24"/>
          <w:lang w:val="sr-Cyrl-CS"/>
        </w:rPr>
        <w:t>е</w:t>
      </w:r>
      <w:r>
        <w:rPr>
          <w:noProof/>
          <w:sz w:val="24"/>
          <w:szCs w:val="24"/>
          <w:lang w:val="sr-Cyrl-CS"/>
        </w:rPr>
        <w:t xml:space="preserve"> за 9.296 </w:t>
      </w:r>
      <w:r w:rsidR="00450260">
        <w:rPr>
          <w:noProof/>
          <w:sz w:val="24"/>
          <w:szCs w:val="24"/>
          <w:lang w:val="sr-Latn-RS"/>
        </w:rPr>
        <w:t>m</w:t>
      </w:r>
      <w:r w:rsidR="00450260" w:rsidRPr="002F3046">
        <w:rPr>
          <w:noProof/>
          <w:sz w:val="24"/>
          <w:szCs w:val="24"/>
          <w:vertAlign w:val="superscript"/>
          <w:lang w:val="sr-Cyrl-CS"/>
        </w:rPr>
        <w:t>2</w:t>
      </w:r>
      <w:r>
        <w:rPr>
          <w:noProof/>
          <w:sz w:val="24"/>
          <w:szCs w:val="24"/>
          <w:lang w:val="sr-Cyrl-CS"/>
        </w:rPr>
        <w:t xml:space="preserve">, по ценама топлотне енергије од 01.11.2013. године улазни </w:t>
      </w:r>
      <w:r w:rsidR="00450260">
        <w:rPr>
          <w:noProof/>
          <w:sz w:val="24"/>
          <w:szCs w:val="24"/>
          <w:lang w:val="sr-Cyrl-CS"/>
        </w:rPr>
        <w:t xml:space="preserve">су </w:t>
      </w:r>
      <w:r>
        <w:rPr>
          <w:noProof/>
          <w:sz w:val="24"/>
          <w:szCs w:val="24"/>
          <w:lang w:val="sr-Cyrl-CS"/>
        </w:rPr>
        <w:t>параметри</w:t>
      </w:r>
      <w:r w:rsidR="00450260">
        <w:rPr>
          <w:noProof/>
          <w:sz w:val="24"/>
          <w:szCs w:val="24"/>
          <w:lang w:val="sr-Cyrl-CS"/>
        </w:rPr>
        <w:t xml:space="preserve"> на основу који су планирани</w:t>
      </w:r>
      <w:r>
        <w:rPr>
          <w:noProof/>
          <w:sz w:val="24"/>
          <w:szCs w:val="24"/>
          <w:lang w:val="sr-Cyrl-CS"/>
        </w:rPr>
        <w:t xml:space="preserve"> очекивани приходи и расходи. </w:t>
      </w:r>
    </w:p>
    <w:p w14:paraId="10A7019E" w14:textId="4856270C" w:rsidR="003B5BF9" w:rsidRDefault="00764232" w:rsidP="00450260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Са </w:t>
      </w:r>
      <w:r w:rsidR="00450260">
        <w:rPr>
          <w:noProof/>
          <w:sz w:val="24"/>
          <w:szCs w:val="24"/>
          <w:lang w:val="sr-Cyrl-CS"/>
        </w:rPr>
        <w:t>напред</w:t>
      </w:r>
      <w:r>
        <w:rPr>
          <w:noProof/>
          <w:sz w:val="24"/>
          <w:szCs w:val="24"/>
          <w:lang w:val="sr-Cyrl-CS"/>
        </w:rPr>
        <w:t xml:space="preserve"> очекиваним изменама улазних параметара долази и</w:t>
      </w:r>
      <w:r w:rsidR="00450260">
        <w:rPr>
          <w:noProof/>
          <w:sz w:val="24"/>
          <w:szCs w:val="24"/>
          <w:lang w:val="sr-Cyrl-CS"/>
        </w:rPr>
        <w:t xml:space="preserve"> до измена приходовне и расходо</w:t>
      </w:r>
      <w:r>
        <w:rPr>
          <w:noProof/>
          <w:sz w:val="24"/>
          <w:szCs w:val="24"/>
          <w:lang w:val="sr-Cyrl-CS"/>
        </w:rPr>
        <w:t xml:space="preserve">вне стране, што је приказано у следећим табелама. </w:t>
      </w:r>
    </w:p>
    <w:p w14:paraId="3F2D21E9" w14:textId="1CBC8AF7" w:rsidR="00764232" w:rsidRDefault="00764232" w:rsidP="00450260">
      <w:pPr>
        <w:spacing w:after="0"/>
        <w:rPr>
          <w:noProof/>
          <w:sz w:val="24"/>
          <w:szCs w:val="24"/>
          <w:lang w:val="sr-Cyrl-CS"/>
        </w:rPr>
      </w:pPr>
      <w:r w:rsidRPr="006514C1">
        <w:rPr>
          <w:b/>
          <w:noProof/>
          <w:sz w:val="24"/>
          <w:szCs w:val="24"/>
          <w:lang w:val="sr-Cyrl-CS"/>
        </w:rPr>
        <w:t>План прихода за 2022. годину</w:t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  <w:t>у 000 динара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0"/>
        <w:gridCol w:w="4924"/>
        <w:gridCol w:w="2052"/>
        <w:gridCol w:w="2053"/>
      </w:tblGrid>
      <w:tr w:rsidR="00764232" w14:paraId="6F5BBBA4" w14:textId="77777777" w:rsidTr="00424748">
        <w:tc>
          <w:tcPr>
            <w:tcW w:w="600" w:type="dxa"/>
            <w:vAlign w:val="center"/>
          </w:tcPr>
          <w:p w14:paraId="6235DD64" w14:textId="4E17DE00" w:rsidR="00764232" w:rsidRPr="00450260" w:rsidRDefault="00764232" w:rsidP="00450260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450260">
              <w:rPr>
                <w:b/>
                <w:noProof/>
                <w:sz w:val="24"/>
                <w:szCs w:val="24"/>
                <w:lang w:val="sr-Cyrl-CS"/>
              </w:rPr>
              <w:t>Р.б.</w:t>
            </w:r>
          </w:p>
        </w:tc>
        <w:tc>
          <w:tcPr>
            <w:tcW w:w="4924" w:type="dxa"/>
            <w:vAlign w:val="center"/>
          </w:tcPr>
          <w:p w14:paraId="477B2F80" w14:textId="669D64B3" w:rsidR="00764232" w:rsidRPr="00450260" w:rsidRDefault="00764232" w:rsidP="00450260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450260">
              <w:rPr>
                <w:b/>
                <w:noProof/>
                <w:sz w:val="24"/>
                <w:szCs w:val="24"/>
                <w:lang w:val="sr-Cyrl-CS"/>
              </w:rPr>
              <w:t>Врста прихода</w:t>
            </w:r>
          </w:p>
        </w:tc>
        <w:tc>
          <w:tcPr>
            <w:tcW w:w="2052" w:type="dxa"/>
            <w:vAlign w:val="center"/>
          </w:tcPr>
          <w:p w14:paraId="5BDA2A19" w14:textId="62B86DA8" w:rsidR="00764232" w:rsidRPr="00450260" w:rsidRDefault="00764232" w:rsidP="00450260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450260">
              <w:rPr>
                <w:b/>
                <w:noProof/>
                <w:sz w:val="24"/>
                <w:szCs w:val="24"/>
                <w:lang w:val="sr-Cyrl-CS"/>
              </w:rPr>
              <w:t>Усвојен Програм за 2022. годину</w:t>
            </w:r>
          </w:p>
        </w:tc>
        <w:tc>
          <w:tcPr>
            <w:tcW w:w="2053" w:type="dxa"/>
            <w:vAlign w:val="center"/>
          </w:tcPr>
          <w:p w14:paraId="5B8DF0CC" w14:textId="5853BE4A" w:rsidR="00764232" w:rsidRPr="00450260" w:rsidRDefault="00764232" w:rsidP="00450260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450260">
              <w:rPr>
                <w:b/>
                <w:noProof/>
                <w:sz w:val="24"/>
                <w:szCs w:val="24"/>
                <w:lang w:val="sr-Cyrl-CS"/>
              </w:rPr>
              <w:t>Измене Програма за 2022. годину</w:t>
            </w:r>
          </w:p>
        </w:tc>
      </w:tr>
      <w:tr w:rsidR="00764232" w14:paraId="1220A6AD" w14:textId="77777777" w:rsidTr="00424748">
        <w:tc>
          <w:tcPr>
            <w:tcW w:w="600" w:type="dxa"/>
            <w:vAlign w:val="center"/>
          </w:tcPr>
          <w:p w14:paraId="2D3A743F" w14:textId="372D8E7D" w:rsidR="00764232" w:rsidRDefault="00764232" w:rsidP="00450260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924" w:type="dxa"/>
            <w:vAlign w:val="center"/>
          </w:tcPr>
          <w:p w14:paraId="368A5D7E" w14:textId="7BD04885" w:rsidR="00764232" w:rsidRDefault="00764232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Продаја топлотне енергије (услуга грејања)</w:t>
            </w:r>
          </w:p>
        </w:tc>
        <w:tc>
          <w:tcPr>
            <w:tcW w:w="2052" w:type="dxa"/>
            <w:vAlign w:val="center"/>
          </w:tcPr>
          <w:p w14:paraId="753184FC" w14:textId="007B08BC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32.795</w:t>
            </w:r>
          </w:p>
        </w:tc>
        <w:tc>
          <w:tcPr>
            <w:tcW w:w="2053" w:type="dxa"/>
            <w:vAlign w:val="center"/>
          </w:tcPr>
          <w:p w14:paraId="07C7AC10" w14:textId="0B0AD5DD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29.701</w:t>
            </w:r>
          </w:p>
        </w:tc>
      </w:tr>
      <w:tr w:rsidR="00764232" w14:paraId="722124CE" w14:textId="77777777" w:rsidTr="00424748">
        <w:tc>
          <w:tcPr>
            <w:tcW w:w="600" w:type="dxa"/>
            <w:vAlign w:val="center"/>
          </w:tcPr>
          <w:p w14:paraId="09A6EB8E" w14:textId="39BB304A" w:rsidR="00764232" w:rsidRDefault="00764232" w:rsidP="00450260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924" w:type="dxa"/>
            <w:vAlign w:val="center"/>
          </w:tcPr>
          <w:p w14:paraId="63A75C9B" w14:textId="4DDC2981" w:rsidR="00764232" w:rsidRDefault="00764232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Субвенција Оснивача и донације</w:t>
            </w:r>
          </w:p>
        </w:tc>
        <w:tc>
          <w:tcPr>
            <w:tcW w:w="2052" w:type="dxa"/>
            <w:vAlign w:val="center"/>
          </w:tcPr>
          <w:p w14:paraId="2698A517" w14:textId="3263D2DD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2.500</w:t>
            </w:r>
          </w:p>
        </w:tc>
        <w:tc>
          <w:tcPr>
            <w:tcW w:w="2053" w:type="dxa"/>
            <w:vAlign w:val="center"/>
          </w:tcPr>
          <w:p w14:paraId="490223B8" w14:textId="3A9D3204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8.800</w:t>
            </w:r>
          </w:p>
        </w:tc>
      </w:tr>
      <w:tr w:rsidR="00764232" w14:paraId="3BC127B5" w14:textId="77777777" w:rsidTr="00424748">
        <w:tc>
          <w:tcPr>
            <w:tcW w:w="600" w:type="dxa"/>
            <w:vAlign w:val="center"/>
          </w:tcPr>
          <w:p w14:paraId="7C8DE04E" w14:textId="12312AA2" w:rsidR="00764232" w:rsidRDefault="00764232" w:rsidP="00450260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924" w:type="dxa"/>
            <w:vAlign w:val="center"/>
          </w:tcPr>
          <w:p w14:paraId="69E2F8B5" w14:textId="615F7BBE" w:rsidR="00764232" w:rsidRDefault="00764232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Финансијски приходи</w:t>
            </w:r>
          </w:p>
        </w:tc>
        <w:tc>
          <w:tcPr>
            <w:tcW w:w="2052" w:type="dxa"/>
            <w:vAlign w:val="center"/>
          </w:tcPr>
          <w:p w14:paraId="436C3901" w14:textId="271B1C2B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730</w:t>
            </w:r>
          </w:p>
        </w:tc>
        <w:tc>
          <w:tcPr>
            <w:tcW w:w="2053" w:type="dxa"/>
            <w:vAlign w:val="center"/>
          </w:tcPr>
          <w:p w14:paraId="29D3C1DE" w14:textId="56145691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1.030</w:t>
            </w:r>
          </w:p>
        </w:tc>
      </w:tr>
      <w:tr w:rsidR="00764232" w14:paraId="07B73E52" w14:textId="77777777" w:rsidTr="00424748">
        <w:tc>
          <w:tcPr>
            <w:tcW w:w="5524" w:type="dxa"/>
            <w:gridSpan w:val="2"/>
          </w:tcPr>
          <w:p w14:paraId="041D57E3" w14:textId="239CBAB7" w:rsidR="00764232" w:rsidRPr="00450260" w:rsidRDefault="00764232" w:rsidP="00764232">
            <w:pPr>
              <w:spacing w:after="120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450260">
              <w:rPr>
                <w:b/>
                <w:noProof/>
                <w:sz w:val="24"/>
                <w:szCs w:val="24"/>
                <w:lang w:val="sr-Cyrl-CS"/>
              </w:rPr>
              <w:t>СВЕГА:</w:t>
            </w:r>
          </w:p>
        </w:tc>
        <w:tc>
          <w:tcPr>
            <w:tcW w:w="2052" w:type="dxa"/>
            <w:vAlign w:val="center"/>
          </w:tcPr>
          <w:p w14:paraId="74C15795" w14:textId="4EB3CE47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36.025</w:t>
            </w:r>
          </w:p>
        </w:tc>
        <w:tc>
          <w:tcPr>
            <w:tcW w:w="2053" w:type="dxa"/>
            <w:vAlign w:val="center"/>
          </w:tcPr>
          <w:p w14:paraId="3849F135" w14:textId="62FD64CA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38.501</w:t>
            </w:r>
          </w:p>
        </w:tc>
      </w:tr>
    </w:tbl>
    <w:p w14:paraId="40D05A19" w14:textId="77777777" w:rsidR="00764232" w:rsidRDefault="00764232" w:rsidP="00511FB8">
      <w:pPr>
        <w:spacing w:after="120"/>
        <w:ind w:firstLine="720"/>
        <w:rPr>
          <w:noProof/>
          <w:sz w:val="24"/>
          <w:szCs w:val="24"/>
          <w:lang w:val="sr-Cyrl-CS"/>
        </w:rPr>
      </w:pPr>
    </w:p>
    <w:p w14:paraId="3489046B" w14:textId="297397BE" w:rsidR="00764232" w:rsidRDefault="00764232" w:rsidP="00450260">
      <w:pPr>
        <w:spacing w:after="0"/>
        <w:rPr>
          <w:noProof/>
          <w:sz w:val="24"/>
          <w:szCs w:val="24"/>
          <w:lang w:val="sr-Cyrl-CS"/>
        </w:rPr>
      </w:pPr>
      <w:r w:rsidRPr="006514C1">
        <w:rPr>
          <w:b/>
          <w:noProof/>
          <w:sz w:val="24"/>
          <w:szCs w:val="24"/>
          <w:lang w:val="sr-Cyrl-CS"/>
        </w:rPr>
        <w:t>План расхода за 2022. годину</w:t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  <w:t>у 000 динара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0"/>
        <w:gridCol w:w="4924"/>
        <w:gridCol w:w="2052"/>
        <w:gridCol w:w="2053"/>
      </w:tblGrid>
      <w:tr w:rsidR="00764232" w14:paraId="496A7275" w14:textId="77777777" w:rsidTr="00424748">
        <w:tc>
          <w:tcPr>
            <w:tcW w:w="600" w:type="dxa"/>
            <w:vAlign w:val="center"/>
          </w:tcPr>
          <w:p w14:paraId="077B3D2A" w14:textId="77777777" w:rsidR="00764232" w:rsidRPr="00450260" w:rsidRDefault="00764232" w:rsidP="00450260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450260">
              <w:rPr>
                <w:b/>
                <w:noProof/>
                <w:sz w:val="24"/>
                <w:szCs w:val="24"/>
                <w:lang w:val="sr-Cyrl-CS"/>
              </w:rPr>
              <w:t>Р.б.</w:t>
            </w:r>
          </w:p>
        </w:tc>
        <w:tc>
          <w:tcPr>
            <w:tcW w:w="4924" w:type="dxa"/>
            <w:vAlign w:val="center"/>
          </w:tcPr>
          <w:p w14:paraId="1DE621E4" w14:textId="244643BB" w:rsidR="00764232" w:rsidRPr="00450260" w:rsidRDefault="00764232" w:rsidP="00450260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450260">
              <w:rPr>
                <w:b/>
                <w:noProof/>
                <w:sz w:val="24"/>
                <w:szCs w:val="24"/>
                <w:lang w:val="sr-Cyrl-CS"/>
              </w:rPr>
              <w:t>Врста расхода</w:t>
            </w:r>
          </w:p>
        </w:tc>
        <w:tc>
          <w:tcPr>
            <w:tcW w:w="2052" w:type="dxa"/>
            <w:vAlign w:val="center"/>
          </w:tcPr>
          <w:p w14:paraId="20AEF30F" w14:textId="77777777" w:rsidR="00764232" w:rsidRPr="00450260" w:rsidRDefault="00764232" w:rsidP="00450260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450260">
              <w:rPr>
                <w:b/>
                <w:noProof/>
                <w:sz w:val="24"/>
                <w:szCs w:val="24"/>
                <w:lang w:val="sr-Cyrl-CS"/>
              </w:rPr>
              <w:t>Усвојен Програм за 2022. годину</w:t>
            </w:r>
          </w:p>
        </w:tc>
        <w:tc>
          <w:tcPr>
            <w:tcW w:w="2053" w:type="dxa"/>
            <w:vAlign w:val="center"/>
          </w:tcPr>
          <w:p w14:paraId="72AF4802" w14:textId="77777777" w:rsidR="00764232" w:rsidRPr="00450260" w:rsidRDefault="00764232" w:rsidP="00450260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450260">
              <w:rPr>
                <w:b/>
                <w:noProof/>
                <w:sz w:val="24"/>
                <w:szCs w:val="24"/>
                <w:lang w:val="sr-Cyrl-CS"/>
              </w:rPr>
              <w:t>Измене Програма за 2022. годину</w:t>
            </w:r>
          </w:p>
        </w:tc>
      </w:tr>
      <w:tr w:rsidR="00764232" w14:paraId="22A00C2B" w14:textId="77777777" w:rsidTr="00424748">
        <w:tc>
          <w:tcPr>
            <w:tcW w:w="600" w:type="dxa"/>
            <w:vAlign w:val="center"/>
          </w:tcPr>
          <w:p w14:paraId="13B5C48E" w14:textId="77777777" w:rsidR="00764232" w:rsidRDefault="00764232" w:rsidP="00450260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924" w:type="dxa"/>
            <w:vAlign w:val="center"/>
          </w:tcPr>
          <w:p w14:paraId="3F422B17" w14:textId="4A0DEB61" w:rsidR="00764232" w:rsidRDefault="00764232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 материјала (природни гас, ел. енергија)</w:t>
            </w:r>
          </w:p>
        </w:tc>
        <w:tc>
          <w:tcPr>
            <w:tcW w:w="2052" w:type="dxa"/>
            <w:vAlign w:val="center"/>
          </w:tcPr>
          <w:p w14:paraId="687BF156" w14:textId="44E7CD86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27.315</w:t>
            </w:r>
          </w:p>
        </w:tc>
        <w:tc>
          <w:tcPr>
            <w:tcW w:w="2053" w:type="dxa"/>
            <w:vAlign w:val="center"/>
          </w:tcPr>
          <w:p w14:paraId="75E6643A" w14:textId="098D61F0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25.304</w:t>
            </w:r>
          </w:p>
        </w:tc>
      </w:tr>
      <w:tr w:rsidR="00764232" w14:paraId="32E1F55A" w14:textId="77777777" w:rsidTr="00424748">
        <w:tc>
          <w:tcPr>
            <w:tcW w:w="600" w:type="dxa"/>
            <w:vAlign w:val="center"/>
          </w:tcPr>
          <w:p w14:paraId="70FF9447" w14:textId="77777777" w:rsidR="00764232" w:rsidRDefault="00764232" w:rsidP="00450260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924" w:type="dxa"/>
            <w:vAlign w:val="center"/>
          </w:tcPr>
          <w:p w14:paraId="17E84CA6" w14:textId="3C6E391C" w:rsidR="00764232" w:rsidRDefault="00764232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 зарада и накнада</w:t>
            </w:r>
          </w:p>
        </w:tc>
        <w:tc>
          <w:tcPr>
            <w:tcW w:w="2052" w:type="dxa"/>
            <w:vAlign w:val="center"/>
          </w:tcPr>
          <w:p w14:paraId="45D142AA" w14:textId="51E59EEA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10.678</w:t>
            </w:r>
          </w:p>
        </w:tc>
        <w:tc>
          <w:tcPr>
            <w:tcW w:w="2053" w:type="dxa"/>
            <w:vAlign w:val="center"/>
          </w:tcPr>
          <w:p w14:paraId="07F73CBE" w14:textId="50D83D1E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11.360</w:t>
            </w:r>
          </w:p>
        </w:tc>
      </w:tr>
      <w:tr w:rsidR="00764232" w14:paraId="714BC92C" w14:textId="77777777" w:rsidTr="00424748">
        <w:tc>
          <w:tcPr>
            <w:tcW w:w="600" w:type="dxa"/>
            <w:vAlign w:val="center"/>
          </w:tcPr>
          <w:p w14:paraId="218E5D9B" w14:textId="77777777" w:rsidR="00764232" w:rsidRDefault="00764232" w:rsidP="00450260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924" w:type="dxa"/>
            <w:vAlign w:val="center"/>
          </w:tcPr>
          <w:p w14:paraId="6DA9C9F7" w14:textId="34C5A8B8" w:rsidR="00764232" w:rsidRDefault="00764232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Производне услуге</w:t>
            </w:r>
          </w:p>
        </w:tc>
        <w:tc>
          <w:tcPr>
            <w:tcW w:w="2052" w:type="dxa"/>
            <w:vAlign w:val="center"/>
          </w:tcPr>
          <w:p w14:paraId="25B5ED96" w14:textId="2BD81D9A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1.550</w:t>
            </w:r>
          </w:p>
        </w:tc>
        <w:tc>
          <w:tcPr>
            <w:tcW w:w="2053" w:type="dxa"/>
            <w:vAlign w:val="center"/>
          </w:tcPr>
          <w:p w14:paraId="4F6859D9" w14:textId="68FC7482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1.320</w:t>
            </w:r>
          </w:p>
        </w:tc>
      </w:tr>
      <w:tr w:rsidR="00764232" w14:paraId="1BFA2901" w14:textId="77777777" w:rsidTr="00424748">
        <w:tc>
          <w:tcPr>
            <w:tcW w:w="600" w:type="dxa"/>
            <w:vAlign w:val="center"/>
          </w:tcPr>
          <w:p w14:paraId="5FFD2AEC" w14:textId="7E42EE54" w:rsidR="00764232" w:rsidRDefault="00764232" w:rsidP="00450260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924" w:type="dxa"/>
            <w:vAlign w:val="center"/>
          </w:tcPr>
          <w:p w14:paraId="0E648D5C" w14:textId="5BFB179C" w:rsidR="00764232" w:rsidRDefault="00764232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Трошкови амортизације</w:t>
            </w:r>
          </w:p>
        </w:tc>
        <w:tc>
          <w:tcPr>
            <w:tcW w:w="2052" w:type="dxa"/>
            <w:vAlign w:val="center"/>
          </w:tcPr>
          <w:p w14:paraId="428FABEF" w14:textId="4AC5A0AD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760</w:t>
            </w:r>
          </w:p>
        </w:tc>
        <w:tc>
          <w:tcPr>
            <w:tcW w:w="2053" w:type="dxa"/>
            <w:vAlign w:val="center"/>
          </w:tcPr>
          <w:p w14:paraId="1CC3BB6E" w14:textId="1AB1E0FF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760</w:t>
            </w:r>
          </w:p>
        </w:tc>
      </w:tr>
      <w:tr w:rsidR="00764232" w14:paraId="08C1040D" w14:textId="77777777" w:rsidTr="00424748">
        <w:tc>
          <w:tcPr>
            <w:tcW w:w="600" w:type="dxa"/>
            <w:vAlign w:val="center"/>
          </w:tcPr>
          <w:p w14:paraId="72B73C7F" w14:textId="35114970" w:rsidR="00764232" w:rsidRDefault="00764232" w:rsidP="00450260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924" w:type="dxa"/>
            <w:vAlign w:val="center"/>
          </w:tcPr>
          <w:p w14:paraId="7A98D6F5" w14:textId="40486DA1" w:rsidR="00764232" w:rsidRDefault="00764232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Нематеријални трошкови</w:t>
            </w:r>
          </w:p>
        </w:tc>
        <w:tc>
          <w:tcPr>
            <w:tcW w:w="2052" w:type="dxa"/>
            <w:vAlign w:val="center"/>
          </w:tcPr>
          <w:p w14:paraId="547B7AE6" w14:textId="35A28458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1.100</w:t>
            </w:r>
          </w:p>
        </w:tc>
        <w:tc>
          <w:tcPr>
            <w:tcW w:w="2053" w:type="dxa"/>
            <w:vAlign w:val="center"/>
          </w:tcPr>
          <w:p w14:paraId="2026BA2D" w14:textId="36BBE90E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1.100</w:t>
            </w:r>
          </w:p>
        </w:tc>
      </w:tr>
      <w:tr w:rsidR="00764232" w14:paraId="45ED2309" w14:textId="77777777" w:rsidTr="00424748">
        <w:tc>
          <w:tcPr>
            <w:tcW w:w="600" w:type="dxa"/>
            <w:vAlign w:val="center"/>
          </w:tcPr>
          <w:p w14:paraId="3C7B1BEF" w14:textId="61E883B1" w:rsidR="00764232" w:rsidRDefault="00764232" w:rsidP="00450260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924" w:type="dxa"/>
            <w:vAlign w:val="center"/>
          </w:tcPr>
          <w:p w14:paraId="59EB8234" w14:textId="1A2D207B" w:rsidR="00764232" w:rsidRDefault="00764232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Финансијски и остали расходи</w:t>
            </w:r>
          </w:p>
        </w:tc>
        <w:tc>
          <w:tcPr>
            <w:tcW w:w="2052" w:type="dxa"/>
            <w:vAlign w:val="center"/>
          </w:tcPr>
          <w:p w14:paraId="3AEEF1B0" w14:textId="5043C47B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650</w:t>
            </w:r>
          </w:p>
        </w:tc>
        <w:tc>
          <w:tcPr>
            <w:tcW w:w="2053" w:type="dxa"/>
            <w:vAlign w:val="center"/>
          </w:tcPr>
          <w:p w14:paraId="7BBABCE2" w14:textId="52D58C8E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950</w:t>
            </w:r>
          </w:p>
        </w:tc>
      </w:tr>
      <w:tr w:rsidR="00764232" w14:paraId="5C840EE9" w14:textId="77777777" w:rsidTr="00424748">
        <w:tc>
          <w:tcPr>
            <w:tcW w:w="5524" w:type="dxa"/>
            <w:gridSpan w:val="2"/>
            <w:vAlign w:val="center"/>
          </w:tcPr>
          <w:p w14:paraId="03719A0B" w14:textId="77777777" w:rsidR="00764232" w:rsidRPr="00450260" w:rsidRDefault="00764232" w:rsidP="00450260">
            <w:pPr>
              <w:spacing w:after="120"/>
              <w:jc w:val="right"/>
              <w:rPr>
                <w:b/>
                <w:noProof/>
                <w:sz w:val="24"/>
                <w:szCs w:val="24"/>
                <w:lang w:val="sr-Cyrl-CS"/>
              </w:rPr>
            </w:pPr>
            <w:r w:rsidRPr="00450260">
              <w:rPr>
                <w:b/>
                <w:noProof/>
                <w:sz w:val="24"/>
                <w:szCs w:val="24"/>
                <w:lang w:val="sr-Cyrl-CS"/>
              </w:rPr>
              <w:t>СВЕГА:</w:t>
            </w:r>
          </w:p>
        </w:tc>
        <w:tc>
          <w:tcPr>
            <w:tcW w:w="2052" w:type="dxa"/>
            <w:vAlign w:val="center"/>
          </w:tcPr>
          <w:p w14:paraId="382F519E" w14:textId="3138C4B0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42.053</w:t>
            </w:r>
          </w:p>
        </w:tc>
        <w:tc>
          <w:tcPr>
            <w:tcW w:w="2053" w:type="dxa"/>
            <w:vAlign w:val="center"/>
          </w:tcPr>
          <w:p w14:paraId="0A5AE807" w14:textId="13ECEB10" w:rsidR="00764232" w:rsidRDefault="00764232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41.014</w:t>
            </w:r>
          </w:p>
        </w:tc>
      </w:tr>
    </w:tbl>
    <w:p w14:paraId="2BC76A45" w14:textId="77777777" w:rsidR="003B5BF9" w:rsidRDefault="003B5BF9" w:rsidP="00511FB8">
      <w:pPr>
        <w:spacing w:after="120"/>
        <w:ind w:firstLine="720"/>
        <w:rPr>
          <w:noProof/>
          <w:sz w:val="24"/>
          <w:szCs w:val="24"/>
          <w:lang w:val="sr-Cyrl-CS"/>
        </w:rPr>
      </w:pPr>
    </w:p>
    <w:p w14:paraId="1C449B75" w14:textId="48D9DD7A" w:rsidR="003B5BF9" w:rsidRDefault="00764232" w:rsidP="006514C1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Као што се из претходног може видети, измене које нас очекују од 01.10.2022. године и почетка грејне сезоне, у </w:t>
      </w:r>
      <w:r w:rsidR="006514C1">
        <w:rPr>
          <w:noProof/>
          <w:sz w:val="24"/>
          <w:szCs w:val="24"/>
          <w:lang w:val="sr-Latn-RS"/>
        </w:rPr>
        <w:t>IV</w:t>
      </w:r>
      <w:r>
        <w:rPr>
          <w:noProof/>
          <w:sz w:val="24"/>
          <w:szCs w:val="24"/>
          <w:lang w:val="sr-Cyrl-CS"/>
        </w:rPr>
        <w:t xml:space="preserve"> кварталу 2022. године утицаће на усвојени </w:t>
      </w:r>
      <w:r w:rsidR="006514C1">
        <w:rPr>
          <w:noProof/>
          <w:sz w:val="24"/>
          <w:szCs w:val="24"/>
          <w:lang w:val="sr-Cyrl-CS"/>
        </w:rPr>
        <w:t>П</w:t>
      </w:r>
      <w:r>
        <w:rPr>
          <w:noProof/>
          <w:sz w:val="24"/>
          <w:szCs w:val="24"/>
          <w:lang w:val="sr-Cyrl-CS"/>
        </w:rPr>
        <w:t xml:space="preserve">рограм </w:t>
      </w:r>
      <w:r w:rsidR="006514C1">
        <w:rPr>
          <w:noProof/>
          <w:sz w:val="24"/>
          <w:szCs w:val="24"/>
          <w:lang w:val="sr-Cyrl-CS"/>
        </w:rPr>
        <w:t xml:space="preserve">пословања </w:t>
      </w:r>
      <w:r>
        <w:rPr>
          <w:noProof/>
          <w:sz w:val="24"/>
          <w:szCs w:val="24"/>
          <w:lang w:val="sr-Cyrl-CS"/>
        </w:rPr>
        <w:t>за период 01.01.-31.12.2022. године тако да овим са овим изменама очекујемо</w:t>
      </w:r>
      <w:r w:rsidR="006514C1">
        <w:rPr>
          <w:noProof/>
          <w:sz w:val="24"/>
          <w:szCs w:val="24"/>
          <w:lang w:val="sr-Cyrl-CS"/>
        </w:rPr>
        <w:t xml:space="preserve"> </w:t>
      </w:r>
      <w:r>
        <w:rPr>
          <w:noProof/>
          <w:sz w:val="24"/>
          <w:szCs w:val="24"/>
          <w:lang w:val="sr-Cyrl-CS"/>
        </w:rPr>
        <w:t xml:space="preserve">да пословну </w:t>
      </w:r>
      <w:r>
        <w:rPr>
          <w:noProof/>
          <w:sz w:val="24"/>
          <w:szCs w:val="24"/>
          <w:lang w:val="sr-Cyrl-CS"/>
        </w:rPr>
        <w:lastRenderedPageBreak/>
        <w:t>годину завршимо са планираним гу</w:t>
      </w:r>
      <w:r w:rsidR="006514C1">
        <w:rPr>
          <w:noProof/>
          <w:sz w:val="24"/>
          <w:szCs w:val="24"/>
          <w:lang w:val="sr-Cyrl-CS"/>
        </w:rPr>
        <w:t>битк</w:t>
      </w:r>
      <w:r>
        <w:rPr>
          <w:noProof/>
          <w:sz w:val="24"/>
          <w:szCs w:val="24"/>
          <w:lang w:val="sr-Cyrl-CS"/>
        </w:rPr>
        <w:t xml:space="preserve">ом 2.513.000,00 динара уместо са планираним губитком од 6.028.000,00 динара. </w:t>
      </w:r>
    </w:p>
    <w:p w14:paraId="0F0C886F" w14:textId="06C302FA" w:rsidR="003B5BF9" w:rsidRDefault="003573CE" w:rsidP="006514C1">
      <w:pPr>
        <w:spacing w:after="0"/>
        <w:rPr>
          <w:noProof/>
          <w:sz w:val="24"/>
          <w:szCs w:val="24"/>
          <w:lang w:val="sr-Cyrl-CS"/>
        </w:rPr>
      </w:pPr>
      <w:r w:rsidRPr="006514C1">
        <w:rPr>
          <w:b/>
          <w:noProof/>
          <w:sz w:val="24"/>
          <w:szCs w:val="24"/>
          <w:lang w:val="sr-Cyrl-CS"/>
        </w:rPr>
        <w:t>Преглед планираних резултата пословања у 2022. години</w:t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</w:r>
      <w:r>
        <w:rPr>
          <w:noProof/>
          <w:sz w:val="24"/>
          <w:szCs w:val="24"/>
          <w:lang w:val="sr-Cyrl-CS"/>
        </w:rPr>
        <w:tab/>
        <w:t>у 000 динара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0"/>
        <w:gridCol w:w="2514"/>
        <w:gridCol w:w="3257"/>
        <w:gridCol w:w="3258"/>
      </w:tblGrid>
      <w:tr w:rsidR="003573CE" w14:paraId="5190BCA0" w14:textId="77777777" w:rsidTr="006514C1">
        <w:tc>
          <w:tcPr>
            <w:tcW w:w="600" w:type="dxa"/>
            <w:vAlign w:val="center"/>
          </w:tcPr>
          <w:p w14:paraId="753CFEA0" w14:textId="78D06C24" w:rsidR="003573CE" w:rsidRPr="006514C1" w:rsidRDefault="003573CE" w:rsidP="006514C1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6514C1">
              <w:rPr>
                <w:b/>
                <w:noProof/>
                <w:sz w:val="24"/>
                <w:szCs w:val="24"/>
                <w:lang w:val="sr-Cyrl-CS"/>
              </w:rPr>
              <w:t>Р.б.</w:t>
            </w:r>
          </w:p>
        </w:tc>
        <w:tc>
          <w:tcPr>
            <w:tcW w:w="2514" w:type="dxa"/>
            <w:vAlign w:val="center"/>
          </w:tcPr>
          <w:p w14:paraId="40014845" w14:textId="789E6D00" w:rsidR="003573CE" w:rsidRPr="006514C1" w:rsidRDefault="003573CE" w:rsidP="006514C1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6514C1">
              <w:rPr>
                <w:b/>
                <w:noProof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3257" w:type="dxa"/>
            <w:vAlign w:val="center"/>
          </w:tcPr>
          <w:p w14:paraId="0C3E5A8F" w14:textId="5F0DB775" w:rsidR="003573CE" w:rsidRPr="006514C1" w:rsidRDefault="003573CE" w:rsidP="006514C1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6514C1">
              <w:rPr>
                <w:b/>
                <w:noProof/>
                <w:sz w:val="24"/>
                <w:szCs w:val="24"/>
                <w:lang w:val="sr-Cyrl-CS"/>
              </w:rPr>
              <w:t>Усвојен Програм за 2022. годину</w:t>
            </w:r>
          </w:p>
        </w:tc>
        <w:tc>
          <w:tcPr>
            <w:tcW w:w="3258" w:type="dxa"/>
            <w:vAlign w:val="center"/>
          </w:tcPr>
          <w:p w14:paraId="4F24CB1B" w14:textId="2C43F5C5" w:rsidR="003573CE" w:rsidRPr="006514C1" w:rsidRDefault="003573CE" w:rsidP="006514C1">
            <w:pPr>
              <w:spacing w:after="120"/>
              <w:jc w:val="center"/>
              <w:rPr>
                <w:b/>
                <w:noProof/>
                <w:sz w:val="24"/>
                <w:szCs w:val="24"/>
                <w:lang w:val="sr-Cyrl-CS"/>
              </w:rPr>
            </w:pPr>
            <w:r w:rsidRPr="006514C1">
              <w:rPr>
                <w:b/>
                <w:noProof/>
                <w:sz w:val="24"/>
                <w:szCs w:val="24"/>
                <w:lang w:val="sr-Cyrl-CS"/>
              </w:rPr>
              <w:t>Измене Програма за 2022. годину</w:t>
            </w:r>
          </w:p>
        </w:tc>
      </w:tr>
      <w:tr w:rsidR="003573CE" w14:paraId="27D5ECBF" w14:textId="77777777" w:rsidTr="006514C1">
        <w:tc>
          <w:tcPr>
            <w:tcW w:w="600" w:type="dxa"/>
            <w:vAlign w:val="center"/>
          </w:tcPr>
          <w:p w14:paraId="38A11C98" w14:textId="73AFA00E" w:rsidR="003573CE" w:rsidRDefault="003573CE" w:rsidP="006514C1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514" w:type="dxa"/>
          </w:tcPr>
          <w:p w14:paraId="17D2BE3A" w14:textId="0BF27630" w:rsidR="003573CE" w:rsidRDefault="003573CE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Укупан приход</w:t>
            </w:r>
          </w:p>
        </w:tc>
        <w:tc>
          <w:tcPr>
            <w:tcW w:w="3257" w:type="dxa"/>
            <w:vAlign w:val="center"/>
          </w:tcPr>
          <w:p w14:paraId="0AD863BB" w14:textId="6FACBDBE" w:rsidR="003573CE" w:rsidRDefault="003573CE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36.025</w:t>
            </w:r>
          </w:p>
        </w:tc>
        <w:tc>
          <w:tcPr>
            <w:tcW w:w="3258" w:type="dxa"/>
            <w:vAlign w:val="center"/>
          </w:tcPr>
          <w:p w14:paraId="2A76BA4D" w14:textId="50F8059A" w:rsidR="003573CE" w:rsidRDefault="003573CE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38.501</w:t>
            </w:r>
          </w:p>
        </w:tc>
      </w:tr>
      <w:tr w:rsidR="003573CE" w14:paraId="09FFA6E4" w14:textId="77777777" w:rsidTr="006514C1">
        <w:tc>
          <w:tcPr>
            <w:tcW w:w="600" w:type="dxa"/>
            <w:vAlign w:val="center"/>
          </w:tcPr>
          <w:p w14:paraId="54E82DE2" w14:textId="55FBCE38" w:rsidR="003573CE" w:rsidRDefault="003573CE" w:rsidP="006514C1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514" w:type="dxa"/>
          </w:tcPr>
          <w:p w14:paraId="6A35106A" w14:textId="35F7F32B" w:rsidR="003573CE" w:rsidRDefault="003573CE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Укупан расход</w:t>
            </w:r>
          </w:p>
        </w:tc>
        <w:tc>
          <w:tcPr>
            <w:tcW w:w="3257" w:type="dxa"/>
            <w:vAlign w:val="center"/>
          </w:tcPr>
          <w:p w14:paraId="10C3A022" w14:textId="640A4FBF" w:rsidR="003573CE" w:rsidRDefault="00404697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42.053</w:t>
            </w:r>
          </w:p>
        </w:tc>
        <w:tc>
          <w:tcPr>
            <w:tcW w:w="3258" w:type="dxa"/>
            <w:vAlign w:val="center"/>
          </w:tcPr>
          <w:p w14:paraId="3BE2E1DD" w14:textId="7AA2501D" w:rsidR="003573CE" w:rsidRDefault="00404697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41.014</w:t>
            </w:r>
          </w:p>
        </w:tc>
      </w:tr>
      <w:tr w:rsidR="003573CE" w14:paraId="67F47B67" w14:textId="77777777" w:rsidTr="006514C1">
        <w:tc>
          <w:tcPr>
            <w:tcW w:w="600" w:type="dxa"/>
            <w:vAlign w:val="center"/>
          </w:tcPr>
          <w:p w14:paraId="2FB236DF" w14:textId="3FE860CC" w:rsidR="003573CE" w:rsidRDefault="00404697" w:rsidP="006514C1">
            <w:pPr>
              <w:spacing w:after="12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514" w:type="dxa"/>
          </w:tcPr>
          <w:p w14:paraId="62EFCBC5" w14:textId="4208FF17" w:rsidR="003573CE" w:rsidRDefault="00404697" w:rsidP="006514C1">
            <w:pPr>
              <w:spacing w:before="60" w:after="60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Резултат – губитак</w:t>
            </w:r>
          </w:p>
        </w:tc>
        <w:tc>
          <w:tcPr>
            <w:tcW w:w="3257" w:type="dxa"/>
            <w:vAlign w:val="center"/>
          </w:tcPr>
          <w:p w14:paraId="24693EB4" w14:textId="6E2EDB43" w:rsidR="003573CE" w:rsidRDefault="00404697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6.028</w:t>
            </w:r>
          </w:p>
        </w:tc>
        <w:tc>
          <w:tcPr>
            <w:tcW w:w="3258" w:type="dxa"/>
            <w:vAlign w:val="center"/>
          </w:tcPr>
          <w:p w14:paraId="749735B6" w14:textId="169E853D" w:rsidR="003573CE" w:rsidRDefault="00404697" w:rsidP="006514C1">
            <w:pPr>
              <w:spacing w:before="60" w:after="60"/>
              <w:jc w:val="center"/>
              <w:rPr>
                <w:noProof/>
                <w:sz w:val="24"/>
                <w:szCs w:val="24"/>
                <w:lang w:val="sr-Cyrl-CS"/>
              </w:rPr>
            </w:pPr>
            <w:r>
              <w:rPr>
                <w:noProof/>
                <w:sz w:val="24"/>
                <w:szCs w:val="24"/>
                <w:lang w:val="sr-Cyrl-CS"/>
              </w:rPr>
              <w:t>2.513</w:t>
            </w:r>
          </w:p>
        </w:tc>
      </w:tr>
    </w:tbl>
    <w:p w14:paraId="567C4125" w14:textId="77777777" w:rsidR="003573CE" w:rsidRDefault="003573CE" w:rsidP="003573CE">
      <w:pPr>
        <w:spacing w:after="120"/>
        <w:rPr>
          <w:noProof/>
          <w:sz w:val="24"/>
          <w:szCs w:val="24"/>
          <w:lang w:val="sr-Cyrl-CS"/>
        </w:rPr>
      </w:pPr>
    </w:p>
    <w:p w14:paraId="05B19D71" w14:textId="42855DFA" w:rsidR="003573CE" w:rsidRDefault="00A358D3" w:rsidP="00A52121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Овакав пословни резултат се може очекивати уз услов да не дође до већих поремећаја на тржишту енергената (природног гаса и ел. енергије) у односу на цене планиране овим </w:t>
      </w:r>
      <w:r w:rsidR="00A52121">
        <w:rPr>
          <w:noProof/>
          <w:sz w:val="24"/>
          <w:szCs w:val="24"/>
          <w:lang w:val="sr-Cyrl-CS"/>
        </w:rPr>
        <w:t>И</w:t>
      </w:r>
      <w:r>
        <w:rPr>
          <w:noProof/>
          <w:sz w:val="24"/>
          <w:szCs w:val="24"/>
          <w:lang w:val="sr-Cyrl-CS"/>
        </w:rPr>
        <w:t xml:space="preserve">зменама </w:t>
      </w:r>
      <w:r w:rsidR="00A52121">
        <w:rPr>
          <w:noProof/>
          <w:sz w:val="24"/>
          <w:szCs w:val="24"/>
          <w:lang w:val="sr-Cyrl-CS"/>
        </w:rPr>
        <w:t>п</w:t>
      </w:r>
      <w:r>
        <w:rPr>
          <w:noProof/>
          <w:sz w:val="24"/>
          <w:szCs w:val="24"/>
          <w:lang w:val="sr-Cyrl-CS"/>
        </w:rPr>
        <w:t xml:space="preserve">рограма пословања за 2022. годину.  </w:t>
      </w:r>
    </w:p>
    <w:p w14:paraId="6D52C15F" w14:textId="0605AD15" w:rsidR="00A358D3" w:rsidRDefault="00A358D3" w:rsidP="00A52121">
      <w:pPr>
        <w:spacing w:after="120"/>
        <w:ind w:firstLine="7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Детаљнији прегледи свих прихода и расхода приказани су у прилозима – билансима који су саставни део Изме</w:t>
      </w:r>
      <w:r w:rsidR="00A52121">
        <w:rPr>
          <w:noProof/>
          <w:sz w:val="24"/>
          <w:szCs w:val="24"/>
          <w:lang w:val="sr-Cyrl-CS"/>
        </w:rPr>
        <w:t>на</w:t>
      </w:r>
      <w:r>
        <w:rPr>
          <w:noProof/>
          <w:sz w:val="24"/>
          <w:szCs w:val="24"/>
          <w:lang w:val="sr-Cyrl-CS"/>
        </w:rPr>
        <w:t xml:space="preserve"> програма пословања за 2022. годину. </w:t>
      </w:r>
    </w:p>
    <w:p w14:paraId="3930EDE8" w14:textId="2EFE325A" w:rsidR="00FA6AC6" w:rsidRDefault="00A358D3" w:rsidP="002F7AA1">
      <w:pPr>
        <w:pStyle w:val="Heading1"/>
        <w:numPr>
          <w:ilvl w:val="0"/>
          <w:numId w:val="1"/>
        </w:numPr>
        <w:ind w:left="357" w:hanging="357"/>
        <w:rPr>
          <w:noProof/>
          <w:lang w:val="sr-Cyrl-CS"/>
        </w:rPr>
      </w:pPr>
      <w:bookmarkStart w:id="4" w:name="_Toc113273342"/>
      <w:r>
        <w:rPr>
          <w:noProof/>
          <w:lang w:val="sr-Cyrl-CS"/>
        </w:rPr>
        <w:t>ЗАКЉУЧАК</w:t>
      </w:r>
      <w:bookmarkEnd w:id="4"/>
    </w:p>
    <w:p w14:paraId="68DE6F26" w14:textId="5D48B66D" w:rsidR="00A358D3" w:rsidRDefault="00A358D3" w:rsidP="002F7AA1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Сви остали елементи усвојеног Програма </w:t>
      </w:r>
      <w:r w:rsidR="00571C39">
        <w:rPr>
          <w:noProof/>
          <w:sz w:val="24"/>
          <w:szCs w:val="24"/>
          <w:lang w:val="sr-Cyrl-CS"/>
        </w:rPr>
        <w:t xml:space="preserve">пословања </w:t>
      </w:r>
      <w:r>
        <w:rPr>
          <w:noProof/>
          <w:sz w:val="24"/>
          <w:szCs w:val="24"/>
          <w:lang w:val="sr-Cyrl-CS"/>
        </w:rPr>
        <w:t xml:space="preserve">за 2022. годину остају исти, односно непромењени. </w:t>
      </w:r>
    </w:p>
    <w:p w14:paraId="1CA48618" w14:textId="52EAA3CC" w:rsidR="00A358D3" w:rsidRDefault="00A358D3" w:rsidP="002F7AA1">
      <w:pPr>
        <w:spacing w:after="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Политика зарада и запошљавања, инвестиција, задужености, као и управљања ризицима, остају исти као и усвојеном Програму пословања за 2022. годину. </w:t>
      </w:r>
    </w:p>
    <w:p w14:paraId="3619B9AF" w14:textId="70BC37C8" w:rsidR="00C641A1" w:rsidRDefault="00A358D3" w:rsidP="00531C97">
      <w:pPr>
        <w:pStyle w:val="Heading1"/>
        <w:numPr>
          <w:ilvl w:val="0"/>
          <w:numId w:val="1"/>
        </w:numPr>
        <w:ind w:left="357" w:hanging="357"/>
        <w:jc w:val="both"/>
        <w:rPr>
          <w:noProof/>
          <w:lang w:val="sr-Cyrl-CS"/>
        </w:rPr>
      </w:pPr>
      <w:bookmarkStart w:id="5" w:name="_Toc113273343"/>
      <w:r>
        <w:rPr>
          <w:noProof/>
          <w:lang w:val="sr-Cyrl-CS"/>
        </w:rPr>
        <w:t>ПРИЛОЗИ</w:t>
      </w:r>
      <w:bookmarkEnd w:id="5"/>
    </w:p>
    <w:p w14:paraId="7FB4E6BE" w14:textId="5AD1E5BD" w:rsidR="00A358D3" w:rsidRDefault="00A358D3" w:rsidP="00531C97">
      <w:pPr>
        <w:spacing w:after="120"/>
        <w:ind w:firstLine="567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 xml:space="preserve">Саставни делови првих Измена програма пословања за 2022. годину су: </w:t>
      </w:r>
    </w:p>
    <w:p w14:paraId="41676AD6" w14:textId="22CDA9A4" w:rsidR="00A358D3" w:rsidRDefault="00A358D3" w:rsidP="00A358D3">
      <w:pPr>
        <w:pStyle w:val="ListParagraph"/>
        <w:numPr>
          <w:ilvl w:val="0"/>
          <w:numId w:val="14"/>
        </w:numPr>
        <w:spacing w:after="1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Биланс стања за период 01.01.-31.12.2022. године</w:t>
      </w:r>
      <w:r w:rsidR="00A52121">
        <w:rPr>
          <w:noProof/>
          <w:sz w:val="24"/>
          <w:szCs w:val="24"/>
          <w:lang w:val="sr-Cyrl-CS"/>
        </w:rPr>
        <w:t xml:space="preserve">, </w:t>
      </w:r>
    </w:p>
    <w:p w14:paraId="54B23B2B" w14:textId="020FD475" w:rsidR="00A358D3" w:rsidRDefault="00A358D3" w:rsidP="00A358D3">
      <w:pPr>
        <w:pStyle w:val="ListParagraph"/>
        <w:numPr>
          <w:ilvl w:val="0"/>
          <w:numId w:val="14"/>
        </w:numPr>
        <w:spacing w:after="1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Биланкс успеха за период 01.01.-31.12.2022. године,</w:t>
      </w:r>
    </w:p>
    <w:p w14:paraId="0CDC7F64" w14:textId="46F1B618" w:rsidR="00A358D3" w:rsidRDefault="00A358D3" w:rsidP="00A358D3">
      <w:pPr>
        <w:pStyle w:val="ListParagraph"/>
        <w:numPr>
          <w:ilvl w:val="0"/>
          <w:numId w:val="14"/>
        </w:numPr>
        <w:spacing w:after="1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Извештај о токовима готовине за период 01.01.-31.12.2022. године</w:t>
      </w:r>
      <w:r w:rsidR="00A52121">
        <w:rPr>
          <w:noProof/>
          <w:sz w:val="24"/>
          <w:szCs w:val="24"/>
          <w:lang w:val="sr-Cyrl-CS"/>
        </w:rPr>
        <w:t xml:space="preserve">, </w:t>
      </w:r>
    </w:p>
    <w:p w14:paraId="6FF8B002" w14:textId="41E3956E" w:rsidR="00A358D3" w:rsidRDefault="00A358D3" w:rsidP="00A358D3">
      <w:pPr>
        <w:pStyle w:val="ListParagraph"/>
        <w:numPr>
          <w:ilvl w:val="0"/>
          <w:numId w:val="14"/>
        </w:numPr>
        <w:spacing w:after="1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Субвенције и донације за период 01.01.-31.12.2022. године</w:t>
      </w:r>
      <w:r w:rsidR="00A52121">
        <w:rPr>
          <w:noProof/>
          <w:sz w:val="24"/>
          <w:szCs w:val="24"/>
          <w:lang w:val="sr-Cyrl-CS"/>
        </w:rPr>
        <w:t xml:space="preserve">, </w:t>
      </w:r>
    </w:p>
    <w:p w14:paraId="6529948B" w14:textId="4DA66D7E" w:rsidR="00A358D3" w:rsidRDefault="00A358D3" w:rsidP="00A358D3">
      <w:pPr>
        <w:pStyle w:val="ListParagraph"/>
        <w:numPr>
          <w:ilvl w:val="0"/>
          <w:numId w:val="14"/>
        </w:numPr>
        <w:spacing w:after="12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  <w:lang w:val="sr-Cyrl-CS"/>
        </w:rPr>
        <w:t>Планирана финансијска средства за набавку добара, радова и услуга за период 01.01.-31.12.2022. године.</w:t>
      </w:r>
    </w:p>
    <w:p w14:paraId="6A7D8B6D" w14:textId="77777777" w:rsidR="00A52121" w:rsidRPr="00A358D3" w:rsidRDefault="00A52121" w:rsidP="00A52121">
      <w:pPr>
        <w:pStyle w:val="ListParagraph"/>
        <w:spacing w:after="120"/>
        <w:ind w:left="927"/>
        <w:jc w:val="both"/>
        <w:rPr>
          <w:noProof/>
          <w:sz w:val="24"/>
          <w:szCs w:val="24"/>
          <w:lang w:val="sr-Cyrl-CS"/>
        </w:rPr>
      </w:pPr>
    </w:p>
    <w:tbl>
      <w:tblPr>
        <w:tblStyle w:val="TableGrid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</w:tblGrid>
      <w:tr w:rsidR="009D5477" w14:paraId="08BB0BB2" w14:textId="77777777" w:rsidTr="009D5477">
        <w:tc>
          <w:tcPr>
            <w:tcW w:w="2551" w:type="dxa"/>
          </w:tcPr>
          <w:p w14:paraId="16162197" w14:textId="17C630EB" w:rsidR="009D5477" w:rsidRPr="009D5477" w:rsidRDefault="009D5477" w:rsidP="009D5477">
            <w:pPr>
              <w:jc w:val="center"/>
              <w:rPr>
                <w:b/>
                <w:bCs/>
                <w:noProof/>
                <w:sz w:val="24"/>
                <w:szCs w:val="24"/>
                <w:lang w:val="sr-Cyrl-CS"/>
              </w:rPr>
            </w:pPr>
            <w:bookmarkStart w:id="6" w:name="_Toc405808735"/>
            <w:r w:rsidRPr="009D5477">
              <w:rPr>
                <w:b/>
                <w:bCs/>
                <w:noProof/>
                <w:sz w:val="24"/>
                <w:szCs w:val="24"/>
                <w:lang w:val="sr-Cyrl-CS"/>
              </w:rPr>
              <w:t>ДИРЕКТОР,</w:t>
            </w:r>
          </w:p>
          <w:p w14:paraId="71D4B89B" w14:textId="61245414" w:rsidR="009D5477" w:rsidRPr="009D5477" w:rsidRDefault="009D5477" w:rsidP="009D5477">
            <w:pPr>
              <w:jc w:val="center"/>
              <w:rPr>
                <w:noProof/>
                <w:sz w:val="24"/>
                <w:szCs w:val="24"/>
                <w:lang w:val="sr-Cyrl-CS"/>
              </w:rPr>
            </w:pPr>
            <w:r w:rsidRPr="009D5477">
              <w:rPr>
                <w:noProof/>
                <w:sz w:val="24"/>
                <w:szCs w:val="24"/>
                <w:lang w:val="sr-Cyrl-CS"/>
              </w:rPr>
              <w:t>Данило Јовић</w:t>
            </w:r>
          </w:p>
        </w:tc>
      </w:tr>
      <w:tr w:rsidR="009D5477" w14:paraId="791628AD" w14:textId="77777777" w:rsidTr="009D5477">
        <w:trPr>
          <w:trHeight w:val="779"/>
        </w:trPr>
        <w:tc>
          <w:tcPr>
            <w:tcW w:w="2551" w:type="dxa"/>
          </w:tcPr>
          <w:p w14:paraId="0ABC6909" w14:textId="77777777" w:rsidR="009D5477" w:rsidRDefault="009D5477" w:rsidP="0011503E">
            <w:pPr>
              <w:rPr>
                <w:noProof/>
                <w:sz w:val="24"/>
                <w:szCs w:val="24"/>
                <w:lang w:val="sr-Cyrl-CS"/>
              </w:rPr>
            </w:pPr>
          </w:p>
        </w:tc>
      </w:tr>
      <w:bookmarkEnd w:id="6"/>
    </w:tbl>
    <w:p w14:paraId="11343ED2" w14:textId="77777777" w:rsidR="00C4755D" w:rsidRPr="00AA6716" w:rsidRDefault="00C4755D" w:rsidP="00A358D3">
      <w:pPr>
        <w:spacing w:after="0"/>
        <w:rPr>
          <w:noProof/>
          <w:sz w:val="24"/>
          <w:szCs w:val="24"/>
          <w:lang w:val="sr-Cyrl-CS"/>
        </w:rPr>
      </w:pPr>
    </w:p>
    <w:sectPr w:rsidR="00C4755D" w:rsidRPr="00AA6716" w:rsidSect="00B46BB4">
      <w:footerReference w:type="default" r:id="rId11"/>
      <w:pgSz w:w="11907" w:h="16840" w:code="9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01BC4" w14:textId="77777777" w:rsidR="00411601" w:rsidRDefault="00411601" w:rsidP="001E3190">
      <w:pPr>
        <w:spacing w:after="0" w:line="240" w:lineRule="auto"/>
      </w:pPr>
      <w:r>
        <w:separator/>
      </w:r>
    </w:p>
  </w:endnote>
  <w:endnote w:type="continuationSeparator" w:id="0">
    <w:p w14:paraId="5B029CB5" w14:textId="77777777" w:rsidR="00411601" w:rsidRDefault="00411601" w:rsidP="001E3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6DCC2" w14:textId="77777777" w:rsidR="00574072" w:rsidRPr="00800B3D" w:rsidRDefault="00574072" w:rsidP="00800B3D">
    <w:pPr>
      <w:pStyle w:val="Footer"/>
      <w:jc w:val="right"/>
    </w:pPr>
    <w:r>
      <w:t>8.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A83CE" w14:textId="77777777" w:rsidR="00574072" w:rsidRPr="00B72106" w:rsidRDefault="00574072" w:rsidP="00800B3D">
    <w:pPr>
      <w:pStyle w:val="Footer"/>
      <w:tabs>
        <w:tab w:val="left" w:pos="562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6376A" w14:textId="77777777" w:rsidR="00574072" w:rsidRPr="00800B3D" w:rsidRDefault="00574072" w:rsidP="00800B3D">
    <w:pPr>
      <w:pStyle w:val="Footer"/>
      <w:jc w:val="right"/>
    </w:pPr>
    <w:r>
      <w:t>1.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82691" w14:textId="584DCF75" w:rsidR="00574072" w:rsidRDefault="00574072" w:rsidP="00D060C2">
    <w:pPr>
      <w:pStyle w:val="Footer"/>
      <w:pBdr>
        <w:top w:val="thinThickSmallGap" w:sz="24" w:space="1" w:color="622423" w:themeColor="accent2" w:themeShade="7F"/>
      </w:pBdr>
      <w:jc w:val="right"/>
      <w:rPr>
        <w:rFonts w:asciiTheme="majorHAnsi" w:hAnsiTheme="majorHAnsi"/>
      </w:rPr>
    </w:pPr>
    <w:r>
      <w:rPr>
        <w:rFonts w:asciiTheme="majorHAnsi" w:hAnsiTheme="majorHAnsi"/>
        <w:lang w:val="sr-Cyrl-RS"/>
      </w:rPr>
      <w:t>Страна</w:t>
    </w:r>
    <w:r>
      <w:rPr>
        <w:rFonts w:asciiTheme="majorHAnsi" w:hAnsiTheme="majorHAnsi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A6566A" w:rsidRPr="00A6566A">
      <w:rPr>
        <w:rFonts w:asciiTheme="majorHAnsi" w:hAnsiTheme="majorHAnsi"/>
        <w:noProof/>
      </w:rPr>
      <w:t>3</w:t>
    </w:r>
    <w:r>
      <w:rPr>
        <w:rFonts w:asciiTheme="majorHAnsi" w:hAnsiTheme="majorHAnsi"/>
        <w:noProof/>
      </w:rPr>
      <w:fldChar w:fldCharType="end"/>
    </w:r>
  </w:p>
  <w:p w14:paraId="7F1C76D1" w14:textId="77777777" w:rsidR="00574072" w:rsidRPr="001E3190" w:rsidRDefault="00574072" w:rsidP="00800B3D">
    <w:pPr>
      <w:pStyle w:val="Footer"/>
      <w:tabs>
        <w:tab w:val="left" w:pos="56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DD298" w14:textId="77777777" w:rsidR="00411601" w:rsidRDefault="00411601" w:rsidP="001E3190">
      <w:pPr>
        <w:spacing w:after="0" w:line="240" w:lineRule="auto"/>
      </w:pPr>
      <w:r>
        <w:separator/>
      </w:r>
    </w:p>
  </w:footnote>
  <w:footnote w:type="continuationSeparator" w:id="0">
    <w:p w14:paraId="0FDB736F" w14:textId="77777777" w:rsidR="00411601" w:rsidRDefault="00411601" w:rsidP="001E3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1145B"/>
    <w:multiLevelType w:val="hybridMultilevel"/>
    <w:tmpl w:val="C6D69A9C"/>
    <w:lvl w:ilvl="0" w:tplc="4C76B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EFAD84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A1309"/>
    <w:multiLevelType w:val="hybridMultilevel"/>
    <w:tmpl w:val="D72E7B5C"/>
    <w:lvl w:ilvl="0" w:tplc="4C76B5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8EC29BC"/>
    <w:multiLevelType w:val="multilevel"/>
    <w:tmpl w:val="30B638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90F3655"/>
    <w:multiLevelType w:val="hybridMultilevel"/>
    <w:tmpl w:val="14C8C50E"/>
    <w:lvl w:ilvl="0" w:tplc="4C76B5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1C30A2"/>
    <w:multiLevelType w:val="hybridMultilevel"/>
    <w:tmpl w:val="D0FA7CBA"/>
    <w:lvl w:ilvl="0" w:tplc="4C76B5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24053D1"/>
    <w:multiLevelType w:val="hybridMultilevel"/>
    <w:tmpl w:val="A43639DC"/>
    <w:lvl w:ilvl="0" w:tplc="4C76B5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4C20E44"/>
    <w:multiLevelType w:val="hybridMultilevel"/>
    <w:tmpl w:val="044AED90"/>
    <w:lvl w:ilvl="0" w:tplc="4C76B5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7485BDD"/>
    <w:multiLevelType w:val="hybridMultilevel"/>
    <w:tmpl w:val="EDD6EA6A"/>
    <w:lvl w:ilvl="0" w:tplc="4C76B5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7AF6DED"/>
    <w:multiLevelType w:val="hybridMultilevel"/>
    <w:tmpl w:val="D2047250"/>
    <w:lvl w:ilvl="0" w:tplc="4C76B5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BE3C20"/>
    <w:multiLevelType w:val="hybridMultilevel"/>
    <w:tmpl w:val="A82624D4"/>
    <w:lvl w:ilvl="0" w:tplc="4C76B5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555133"/>
    <w:multiLevelType w:val="hybridMultilevel"/>
    <w:tmpl w:val="852C7AC0"/>
    <w:lvl w:ilvl="0" w:tplc="A5982D4E">
      <w:start w:val="12"/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A8518C3"/>
    <w:multiLevelType w:val="hybridMultilevel"/>
    <w:tmpl w:val="4C30573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B717858"/>
    <w:multiLevelType w:val="hybridMultilevel"/>
    <w:tmpl w:val="310AD67E"/>
    <w:lvl w:ilvl="0" w:tplc="4C76B5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A52D1E"/>
    <w:multiLevelType w:val="hybridMultilevel"/>
    <w:tmpl w:val="2BD876EE"/>
    <w:lvl w:ilvl="0" w:tplc="4C76B57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4"/>
  </w:num>
  <w:num w:numId="5">
    <w:abstractNumId w:val="12"/>
  </w:num>
  <w:num w:numId="6">
    <w:abstractNumId w:val="8"/>
  </w:num>
  <w:num w:numId="7">
    <w:abstractNumId w:val="6"/>
  </w:num>
  <w:num w:numId="8">
    <w:abstractNumId w:val="13"/>
  </w:num>
  <w:num w:numId="9">
    <w:abstractNumId w:val="11"/>
  </w:num>
  <w:num w:numId="10">
    <w:abstractNumId w:val="1"/>
  </w:num>
  <w:num w:numId="11">
    <w:abstractNumId w:val="5"/>
  </w:num>
  <w:num w:numId="12">
    <w:abstractNumId w:val="0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A0"/>
    <w:rsid w:val="00000680"/>
    <w:rsid w:val="00003B1E"/>
    <w:rsid w:val="00005391"/>
    <w:rsid w:val="00006474"/>
    <w:rsid w:val="000125B0"/>
    <w:rsid w:val="000126D8"/>
    <w:rsid w:val="000224D1"/>
    <w:rsid w:val="0002335E"/>
    <w:rsid w:val="00025BBD"/>
    <w:rsid w:val="0004064A"/>
    <w:rsid w:val="00060BAC"/>
    <w:rsid w:val="0006106A"/>
    <w:rsid w:val="00066C21"/>
    <w:rsid w:val="00073565"/>
    <w:rsid w:val="000739AF"/>
    <w:rsid w:val="00075761"/>
    <w:rsid w:val="00077A68"/>
    <w:rsid w:val="000836F4"/>
    <w:rsid w:val="00084BAF"/>
    <w:rsid w:val="00090DF0"/>
    <w:rsid w:val="000926C4"/>
    <w:rsid w:val="00095362"/>
    <w:rsid w:val="000A03E6"/>
    <w:rsid w:val="000A1B71"/>
    <w:rsid w:val="000B32E3"/>
    <w:rsid w:val="000B6FAD"/>
    <w:rsid w:val="000C63C7"/>
    <w:rsid w:val="000C77A6"/>
    <w:rsid w:val="000D2DCB"/>
    <w:rsid w:val="000E3639"/>
    <w:rsid w:val="000E5748"/>
    <w:rsid w:val="000F39BB"/>
    <w:rsid w:val="001020AF"/>
    <w:rsid w:val="00107244"/>
    <w:rsid w:val="001110EA"/>
    <w:rsid w:val="00114C69"/>
    <w:rsid w:val="0011503E"/>
    <w:rsid w:val="00120A0B"/>
    <w:rsid w:val="00121E82"/>
    <w:rsid w:val="00122CD2"/>
    <w:rsid w:val="0012514E"/>
    <w:rsid w:val="00133900"/>
    <w:rsid w:val="001360AF"/>
    <w:rsid w:val="00153D3F"/>
    <w:rsid w:val="001549FC"/>
    <w:rsid w:val="001575C9"/>
    <w:rsid w:val="00164C05"/>
    <w:rsid w:val="00166097"/>
    <w:rsid w:val="00174316"/>
    <w:rsid w:val="00186F17"/>
    <w:rsid w:val="001944AA"/>
    <w:rsid w:val="00195028"/>
    <w:rsid w:val="001A4659"/>
    <w:rsid w:val="001A509E"/>
    <w:rsid w:val="001A67EA"/>
    <w:rsid w:val="001B1AF3"/>
    <w:rsid w:val="001D151E"/>
    <w:rsid w:val="001D654C"/>
    <w:rsid w:val="001E0239"/>
    <w:rsid w:val="001E3190"/>
    <w:rsid w:val="001E5B2B"/>
    <w:rsid w:val="001F0AB8"/>
    <w:rsid w:val="001F3A09"/>
    <w:rsid w:val="001F3FC4"/>
    <w:rsid w:val="001F7292"/>
    <w:rsid w:val="001F73BE"/>
    <w:rsid w:val="0020119B"/>
    <w:rsid w:val="00207435"/>
    <w:rsid w:val="00223D59"/>
    <w:rsid w:val="0022409C"/>
    <w:rsid w:val="00225AC7"/>
    <w:rsid w:val="002425DD"/>
    <w:rsid w:val="00242C1C"/>
    <w:rsid w:val="00242F72"/>
    <w:rsid w:val="0024579D"/>
    <w:rsid w:val="00247AAD"/>
    <w:rsid w:val="00252DB1"/>
    <w:rsid w:val="00256EC8"/>
    <w:rsid w:val="00262D78"/>
    <w:rsid w:val="00271654"/>
    <w:rsid w:val="002723B6"/>
    <w:rsid w:val="002822F4"/>
    <w:rsid w:val="00283C4E"/>
    <w:rsid w:val="00284388"/>
    <w:rsid w:val="00286133"/>
    <w:rsid w:val="00286A4C"/>
    <w:rsid w:val="002872DF"/>
    <w:rsid w:val="00293B03"/>
    <w:rsid w:val="0029412B"/>
    <w:rsid w:val="00294CA0"/>
    <w:rsid w:val="00295636"/>
    <w:rsid w:val="00297B2A"/>
    <w:rsid w:val="002A08F2"/>
    <w:rsid w:val="002A5E46"/>
    <w:rsid w:val="002A629A"/>
    <w:rsid w:val="002B43DB"/>
    <w:rsid w:val="002C01FF"/>
    <w:rsid w:val="002C0F1C"/>
    <w:rsid w:val="002D0C43"/>
    <w:rsid w:val="002D1ED0"/>
    <w:rsid w:val="002D27AB"/>
    <w:rsid w:val="002D5D43"/>
    <w:rsid w:val="002D5E52"/>
    <w:rsid w:val="002E4715"/>
    <w:rsid w:val="002E582D"/>
    <w:rsid w:val="002E5CB6"/>
    <w:rsid w:val="002F3046"/>
    <w:rsid w:val="002F3CDA"/>
    <w:rsid w:val="002F7759"/>
    <w:rsid w:val="002F7AA1"/>
    <w:rsid w:val="00302432"/>
    <w:rsid w:val="0031100C"/>
    <w:rsid w:val="003122BB"/>
    <w:rsid w:val="00316351"/>
    <w:rsid w:val="0031727C"/>
    <w:rsid w:val="00322DC7"/>
    <w:rsid w:val="003231E6"/>
    <w:rsid w:val="003257D0"/>
    <w:rsid w:val="00335680"/>
    <w:rsid w:val="0034207E"/>
    <w:rsid w:val="0034301C"/>
    <w:rsid w:val="00346841"/>
    <w:rsid w:val="00347093"/>
    <w:rsid w:val="00350041"/>
    <w:rsid w:val="00350F63"/>
    <w:rsid w:val="00355DE9"/>
    <w:rsid w:val="00356BF0"/>
    <w:rsid w:val="003573CE"/>
    <w:rsid w:val="0036214B"/>
    <w:rsid w:val="0036315F"/>
    <w:rsid w:val="00367521"/>
    <w:rsid w:val="003705CD"/>
    <w:rsid w:val="0037268A"/>
    <w:rsid w:val="0037559C"/>
    <w:rsid w:val="00383E2E"/>
    <w:rsid w:val="00386EEE"/>
    <w:rsid w:val="003906C8"/>
    <w:rsid w:val="00394CA1"/>
    <w:rsid w:val="003A1483"/>
    <w:rsid w:val="003A3482"/>
    <w:rsid w:val="003A443C"/>
    <w:rsid w:val="003A6BA1"/>
    <w:rsid w:val="003B5BF9"/>
    <w:rsid w:val="003B7CE1"/>
    <w:rsid w:val="003C21BD"/>
    <w:rsid w:val="003D4458"/>
    <w:rsid w:val="003E070F"/>
    <w:rsid w:val="003E4334"/>
    <w:rsid w:val="003E799E"/>
    <w:rsid w:val="00400116"/>
    <w:rsid w:val="00404697"/>
    <w:rsid w:val="004107BD"/>
    <w:rsid w:val="00411601"/>
    <w:rsid w:val="00411EF2"/>
    <w:rsid w:val="00422058"/>
    <w:rsid w:val="00424748"/>
    <w:rsid w:val="004253E4"/>
    <w:rsid w:val="00441A13"/>
    <w:rsid w:val="00443761"/>
    <w:rsid w:val="00444A9A"/>
    <w:rsid w:val="00450260"/>
    <w:rsid w:val="00453762"/>
    <w:rsid w:val="0045671F"/>
    <w:rsid w:val="00463D4C"/>
    <w:rsid w:val="004644E9"/>
    <w:rsid w:val="004768F8"/>
    <w:rsid w:val="00477395"/>
    <w:rsid w:val="004856E3"/>
    <w:rsid w:val="00486F37"/>
    <w:rsid w:val="00494B64"/>
    <w:rsid w:val="004A0802"/>
    <w:rsid w:val="004A327B"/>
    <w:rsid w:val="004A59A9"/>
    <w:rsid w:val="004A61D2"/>
    <w:rsid w:val="004A6B2A"/>
    <w:rsid w:val="004A7924"/>
    <w:rsid w:val="004B2C67"/>
    <w:rsid w:val="004B5103"/>
    <w:rsid w:val="004B5DBC"/>
    <w:rsid w:val="004D65A7"/>
    <w:rsid w:val="004E3866"/>
    <w:rsid w:val="004E4C36"/>
    <w:rsid w:val="004F0FD2"/>
    <w:rsid w:val="00500D7F"/>
    <w:rsid w:val="0050170C"/>
    <w:rsid w:val="005062F9"/>
    <w:rsid w:val="00507980"/>
    <w:rsid w:val="00511FB8"/>
    <w:rsid w:val="005129F7"/>
    <w:rsid w:val="005157F9"/>
    <w:rsid w:val="00516089"/>
    <w:rsid w:val="00516D06"/>
    <w:rsid w:val="00516ED3"/>
    <w:rsid w:val="00521233"/>
    <w:rsid w:val="005279DD"/>
    <w:rsid w:val="00530043"/>
    <w:rsid w:val="00531C97"/>
    <w:rsid w:val="00533E9F"/>
    <w:rsid w:val="00542870"/>
    <w:rsid w:val="005538A5"/>
    <w:rsid w:val="00566189"/>
    <w:rsid w:val="00570BDE"/>
    <w:rsid w:val="00571C39"/>
    <w:rsid w:val="00574072"/>
    <w:rsid w:val="00585B21"/>
    <w:rsid w:val="0059239B"/>
    <w:rsid w:val="005A0AD4"/>
    <w:rsid w:val="005A431F"/>
    <w:rsid w:val="005B1F8C"/>
    <w:rsid w:val="005B56B5"/>
    <w:rsid w:val="005B6A0D"/>
    <w:rsid w:val="005C137E"/>
    <w:rsid w:val="005C1C3B"/>
    <w:rsid w:val="005C4417"/>
    <w:rsid w:val="005C7F82"/>
    <w:rsid w:val="005D36F8"/>
    <w:rsid w:val="005E5110"/>
    <w:rsid w:val="005E550D"/>
    <w:rsid w:val="005E5E2F"/>
    <w:rsid w:val="00601843"/>
    <w:rsid w:val="006019B8"/>
    <w:rsid w:val="00601C7A"/>
    <w:rsid w:val="006038E2"/>
    <w:rsid w:val="00606EA3"/>
    <w:rsid w:val="00607047"/>
    <w:rsid w:val="006124D6"/>
    <w:rsid w:val="006222D7"/>
    <w:rsid w:val="00634F84"/>
    <w:rsid w:val="006443AE"/>
    <w:rsid w:val="006514C1"/>
    <w:rsid w:val="0066065B"/>
    <w:rsid w:val="00661F74"/>
    <w:rsid w:val="006730E8"/>
    <w:rsid w:val="006771D7"/>
    <w:rsid w:val="0068717F"/>
    <w:rsid w:val="006907F1"/>
    <w:rsid w:val="006A22FC"/>
    <w:rsid w:val="006A30C5"/>
    <w:rsid w:val="006A772A"/>
    <w:rsid w:val="006A797D"/>
    <w:rsid w:val="006B7B6B"/>
    <w:rsid w:val="006C7302"/>
    <w:rsid w:val="006D41DB"/>
    <w:rsid w:val="006E3AB2"/>
    <w:rsid w:val="006F3A6D"/>
    <w:rsid w:val="00704839"/>
    <w:rsid w:val="007062E0"/>
    <w:rsid w:val="007068EF"/>
    <w:rsid w:val="007131CD"/>
    <w:rsid w:val="007152E3"/>
    <w:rsid w:val="00723C6A"/>
    <w:rsid w:val="00726B14"/>
    <w:rsid w:val="0073040E"/>
    <w:rsid w:val="00741846"/>
    <w:rsid w:val="00741986"/>
    <w:rsid w:val="00747FAF"/>
    <w:rsid w:val="00751765"/>
    <w:rsid w:val="00754705"/>
    <w:rsid w:val="00764232"/>
    <w:rsid w:val="0076437D"/>
    <w:rsid w:val="007723D5"/>
    <w:rsid w:val="00774A33"/>
    <w:rsid w:val="00786478"/>
    <w:rsid w:val="00790096"/>
    <w:rsid w:val="007903E2"/>
    <w:rsid w:val="007970C4"/>
    <w:rsid w:val="0079742C"/>
    <w:rsid w:val="00797536"/>
    <w:rsid w:val="007A4E29"/>
    <w:rsid w:val="007C0274"/>
    <w:rsid w:val="007C3441"/>
    <w:rsid w:val="00800B3D"/>
    <w:rsid w:val="00803542"/>
    <w:rsid w:val="00805D14"/>
    <w:rsid w:val="00807E79"/>
    <w:rsid w:val="008145E5"/>
    <w:rsid w:val="00814C97"/>
    <w:rsid w:val="00817945"/>
    <w:rsid w:val="00817BC4"/>
    <w:rsid w:val="008238BC"/>
    <w:rsid w:val="00827F8F"/>
    <w:rsid w:val="00830461"/>
    <w:rsid w:val="00832F6C"/>
    <w:rsid w:val="008379E6"/>
    <w:rsid w:val="00841967"/>
    <w:rsid w:val="0084446C"/>
    <w:rsid w:val="0084669A"/>
    <w:rsid w:val="00851F2A"/>
    <w:rsid w:val="00860C83"/>
    <w:rsid w:val="00865358"/>
    <w:rsid w:val="008663E2"/>
    <w:rsid w:val="0086730D"/>
    <w:rsid w:val="00884851"/>
    <w:rsid w:val="008860DF"/>
    <w:rsid w:val="0089774F"/>
    <w:rsid w:val="00897F66"/>
    <w:rsid w:val="008A0202"/>
    <w:rsid w:val="008B3B94"/>
    <w:rsid w:val="008B6189"/>
    <w:rsid w:val="008B6841"/>
    <w:rsid w:val="008E14B4"/>
    <w:rsid w:val="008E5A8B"/>
    <w:rsid w:val="008F0BBA"/>
    <w:rsid w:val="008F29D4"/>
    <w:rsid w:val="008F7906"/>
    <w:rsid w:val="00900150"/>
    <w:rsid w:val="009008A6"/>
    <w:rsid w:val="00901752"/>
    <w:rsid w:val="0090541A"/>
    <w:rsid w:val="0091365D"/>
    <w:rsid w:val="00923327"/>
    <w:rsid w:val="0092671D"/>
    <w:rsid w:val="00931909"/>
    <w:rsid w:val="00934317"/>
    <w:rsid w:val="009343E3"/>
    <w:rsid w:val="009352B1"/>
    <w:rsid w:val="00936616"/>
    <w:rsid w:val="009414B1"/>
    <w:rsid w:val="009446E9"/>
    <w:rsid w:val="0094535F"/>
    <w:rsid w:val="009475E8"/>
    <w:rsid w:val="00953347"/>
    <w:rsid w:val="00956581"/>
    <w:rsid w:val="00966BCD"/>
    <w:rsid w:val="0097413E"/>
    <w:rsid w:val="00975E85"/>
    <w:rsid w:val="00976078"/>
    <w:rsid w:val="00990CD6"/>
    <w:rsid w:val="009930D1"/>
    <w:rsid w:val="00994E84"/>
    <w:rsid w:val="009A505C"/>
    <w:rsid w:val="009A6509"/>
    <w:rsid w:val="009A6EFF"/>
    <w:rsid w:val="009B1942"/>
    <w:rsid w:val="009B2876"/>
    <w:rsid w:val="009B28B3"/>
    <w:rsid w:val="009B67A4"/>
    <w:rsid w:val="009C6319"/>
    <w:rsid w:val="009C77C1"/>
    <w:rsid w:val="009D5477"/>
    <w:rsid w:val="009D750E"/>
    <w:rsid w:val="009E0E8C"/>
    <w:rsid w:val="009E2253"/>
    <w:rsid w:val="009E4C3F"/>
    <w:rsid w:val="009E5D96"/>
    <w:rsid w:val="009F3290"/>
    <w:rsid w:val="00A0373B"/>
    <w:rsid w:val="00A149C1"/>
    <w:rsid w:val="00A33A17"/>
    <w:rsid w:val="00A358D3"/>
    <w:rsid w:val="00A36FD7"/>
    <w:rsid w:val="00A50CE1"/>
    <w:rsid w:val="00A52121"/>
    <w:rsid w:val="00A624D5"/>
    <w:rsid w:val="00A63B8B"/>
    <w:rsid w:val="00A64CA3"/>
    <w:rsid w:val="00A6566A"/>
    <w:rsid w:val="00A724DC"/>
    <w:rsid w:val="00A7358C"/>
    <w:rsid w:val="00A768A2"/>
    <w:rsid w:val="00A770FE"/>
    <w:rsid w:val="00A82D75"/>
    <w:rsid w:val="00AA0846"/>
    <w:rsid w:val="00AA1CB4"/>
    <w:rsid w:val="00AA629E"/>
    <w:rsid w:val="00AA6716"/>
    <w:rsid w:val="00AB2F38"/>
    <w:rsid w:val="00AC17FA"/>
    <w:rsid w:val="00AD2DED"/>
    <w:rsid w:val="00AD5080"/>
    <w:rsid w:val="00AE45EE"/>
    <w:rsid w:val="00B002F2"/>
    <w:rsid w:val="00B048C5"/>
    <w:rsid w:val="00B10C53"/>
    <w:rsid w:val="00B211B8"/>
    <w:rsid w:val="00B24B54"/>
    <w:rsid w:val="00B26CE7"/>
    <w:rsid w:val="00B31240"/>
    <w:rsid w:val="00B43E89"/>
    <w:rsid w:val="00B44E98"/>
    <w:rsid w:val="00B46BB4"/>
    <w:rsid w:val="00B46C36"/>
    <w:rsid w:val="00B46E33"/>
    <w:rsid w:val="00B52C6D"/>
    <w:rsid w:val="00B55CB1"/>
    <w:rsid w:val="00B641EA"/>
    <w:rsid w:val="00B66D46"/>
    <w:rsid w:val="00B67911"/>
    <w:rsid w:val="00B72106"/>
    <w:rsid w:val="00B762F6"/>
    <w:rsid w:val="00B80E72"/>
    <w:rsid w:val="00B82BF1"/>
    <w:rsid w:val="00B85B1E"/>
    <w:rsid w:val="00B92872"/>
    <w:rsid w:val="00B9668E"/>
    <w:rsid w:val="00B977C0"/>
    <w:rsid w:val="00BA36AA"/>
    <w:rsid w:val="00BC3C78"/>
    <w:rsid w:val="00BC5855"/>
    <w:rsid w:val="00BD0412"/>
    <w:rsid w:val="00BD2D69"/>
    <w:rsid w:val="00BD3D5D"/>
    <w:rsid w:val="00BD5AB2"/>
    <w:rsid w:val="00BE2119"/>
    <w:rsid w:val="00BE4CC5"/>
    <w:rsid w:val="00BE59C5"/>
    <w:rsid w:val="00BF19FF"/>
    <w:rsid w:val="00C01FD0"/>
    <w:rsid w:val="00C05BD1"/>
    <w:rsid w:val="00C112EE"/>
    <w:rsid w:val="00C1247B"/>
    <w:rsid w:val="00C16E6A"/>
    <w:rsid w:val="00C2229E"/>
    <w:rsid w:val="00C371EC"/>
    <w:rsid w:val="00C45EA5"/>
    <w:rsid w:val="00C4755D"/>
    <w:rsid w:val="00C47CB7"/>
    <w:rsid w:val="00C53D36"/>
    <w:rsid w:val="00C55102"/>
    <w:rsid w:val="00C621EA"/>
    <w:rsid w:val="00C641A1"/>
    <w:rsid w:val="00C7251C"/>
    <w:rsid w:val="00C73D6B"/>
    <w:rsid w:val="00C80381"/>
    <w:rsid w:val="00C81DE5"/>
    <w:rsid w:val="00C82FA4"/>
    <w:rsid w:val="00C83FB7"/>
    <w:rsid w:val="00C945D9"/>
    <w:rsid w:val="00C94E32"/>
    <w:rsid w:val="00C96EC3"/>
    <w:rsid w:val="00CA1734"/>
    <w:rsid w:val="00CA204B"/>
    <w:rsid w:val="00CA29EF"/>
    <w:rsid w:val="00CA45DD"/>
    <w:rsid w:val="00CB02B8"/>
    <w:rsid w:val="00CB6210"/>
    <w:rsid w:val="00CD75D9"/>
    <w:rsid w:val="00CE0716"/>
    <w:rsid w:val="00CF007F"/>
    <w:rsid w:val="00CF19AE"/>
    <w:rsid w:val="00D04BB0"/>
    <w:rsid w:val="00D060C2"/>
    <w:rsid w:val="00D14514"/>
    <w:rsid w:val="00D16508"/>
    <w:rsid w:val="00D22B0E"/>
    <w:rsid w:val="00D25C1B"/>
    <w:rsid w:val="00D27A5D"/>
    <w:rsid w:val="00D34BE4"/>
    <w:rsid w:val="00D37B26"/>
    <w:rsid w:val="00D442DA"/>
    <w:rsid w:val="00D46DD1"/>
    <w:rsid w:val="00D55857"/>
    <w:rsid w:val="00D85D12"/>
    <w:rsid w:val="00D869E6"/>
    <w:rsid w:val="00D915D4"/>
    <w:rsid w:val="00DA23D7"/>
    <w:rsid w:val="00DA335A"/>
    <w:rsid w:val="00DB501B"/>
    <w:rsid w:val="00DB7AB4"/>
    <w:rsid w:val="00DC0C80"/>
    <w:rsid w:val="00DC1B85"/>
    <w:rsid w:val="00DD0495"/>
    <w:rsid w:val="00DD148D"/>
    <w:rsid w:val="00DD28EC"/>
    <w:rsid w:val="00DD3F97"/>
    <w:rsid w:val="00DD4118"/>
    <w:rsid w:val="00DD5B72"/>
    <w:rsid w:val="00DE3610"/>
    <w:rsid w:val="00DE407D"/>
    <w:rsid w:val="00DF3BC9"/>
    <w:rsid w:val="00DF5CA2"/>
    <w:rsid w:val="00E06442"/>
    <w:rsid w:val="00E10C2D"/>
    <w:rsid w:val="00E1205E"/>
    <w:rsid w:val="00E141E5"/>
    <w:rsid w:val="00E25090"/>
    <w:rsid w:val="00E2573F"/>
    <w:rsid w:val="00E27E62"/>
    <w:rsid w:val="00E30A57"/>
    <w:rsid w:val="00E526CE"/>
    <w:rsid w:val="00E539AE"/>
    <w:rsid w:val="00E62D7F"/>
    <w:rsid w:val="00E65386"/>
    <w:rsid w:val="00E71AFB"/>
    <w:rsid w:val="00E75456"/>
    <w:rsid w:val="00E773D3"/>
    <w:rsid w:val="00E81817"/>
    <w:rsid w:val="00E81AAD"/>
    <w:rsid w:val="00E84F91"/>
    <w:rsid w:val="00E8555C"/>
    <w:rsid w:val="00E86EF1"/>
    <w:rsid w:val="00E92A00"/>
    <w:rsid w:val="00E967A2"/>
    <w:rsid w:val="00EA04B4"/>
    <w:rsid w:val="00EA085D"/>
    <w:rsid w:val="00EA094F"/>
    <w:rsid w:val="00EB4F01"/>
    <w:rsid w:val="00EB5640"/>
    <w:rsid w:val="00EC4E11"/>
    <w:rsid w:val="00EC6B65"/>
    <w:rsid w:val="00EC71AB"/>
    <w:rsid w:val="00ED2389"/>
    <w:rsid w:val="00ED23E8"/>
    <w:rsid w:val="00ED375A"/>
    <w:rsid w:val="00EE0CDC"/>
    <w:rsid w:val="00EE0FF1"/>
    <w:rsid w:val="00EE473E"/>
    <w:rsid w:val="00EF4121"/>
    <w:rsid w:val="00EF7850"/>
    <w:rsid w:val="00F165C6"/>
    <w:rsid w:val="00F32AAF"/>
    <w:rsid w:val="00F33435"/>
    <w:rsid w:val="00F34493"/>
    <w:rsid w:val="00F34AEB"/>
    <w:rsid w:val="00F40870"/>
    <w:rsid w:val="00F4524C"/>
    <w:rsid w:val="00F53AF4"/>
    <w:rsid w:val="00F56C37"/>
    <w:rsid w:val="00F57F55"/>
    <w:rsid w:val="00F644C9"/>
    <w:rsid w:val="00F66ECD"/>
    <w:rsid w:val="00F71F18"/>
    <w:rsid w:val="00F73E91"/>
    <w:rsid w:val="00F9105C"/>
    <w:rsid w:val="00F923FE"/>
    <w:rsid w:val="00FA1235"/>
    <w:rsid w:val="00FA6AC6"/>
    <w:rsid w:val="00FB4F3F"/>
    <w:rsid w:val="00FC141D"/>
    <w:rsid w:val="00FC2895"/>
    <w:rsid w:val="00FC4C0E"/>
    <w:rsid w:val="00FC4EDE"/>
    <w:rsid w:val="00FC6742"/>
    <w:rsid w:val="00FC6E08"/>
    <w:rsid w:val="00FD0E64"/>
    <w:rsid w:val="00FD76BF"/>
    <w:rsid w:val="00FE0EE5"/>
    <w:rsid w:val="00FE64FC"/>
    <w:rsid w:val="00FE6A16"/>
    <w:rsid w:val="00FE6FCC"/>
    <w:rsid w:val="00FE7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E565B"/>
  <w15:docId w15:val="{56271162-59E3-4EBA-897B-E8613B95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327"/>
  </w:style>
  <w:style w:type="paragraph" w:styleId="Heading1">
    <w:name w:val="heading 1"/>
    <w:basedOn w:val="Normal"/>
    <w:next w:val="Normal"/>
    <w:link w:val="Heading1Char"/>
    <w:uiPriority w:val="9"/>
    <w:qFormat/>
    <w:rsid w:val="00174316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4C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A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E31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190"/>
  </w:style>
  <w:style w:type="paragraph" w:styleId="Footer">
    <w:name w:val="footer"/>
    <w:basedOn w:val="Normal"/>
    <w:link w:val="FooterChar"/>
    <w:uiPriority w:val="99"/>
    <w:unhideWhenUsed/>
    <w:rsid w:val="001E319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190"/>
  </w:style>
  <w:style w:type="paragraph" w:styleId="NoSpacing">
    <w:name w:val="No Spacing"/>
    <w:link w:val="NoSpacingChar"/>
    <w:uiPriority w:val="1"/>
    <w:qFormat/>
    <w:rsid w:val="00C2229E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2229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13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74316"/>
    <w:rPr>
      <w:rFonts w:eastAsiaTheme="majorEastAsia" w:cstheme="majorBidi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B211B8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A724DC"/>
    <w:pPr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A724D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724DC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B72106"/>
  </w:style>
  <w:style w:type="character" w:customStyle="1" w:styleId="Heading2Char">
    <w:name w:val="Heading 2 Char"/>
    <w:basedOn w:val="DefaultParagraphFont"/>
    <w:link w:val="Heading2"/>
    <w:uiPriority w:val="9"/>
    <w:semiHidden/>
    <w:rsid w:val="00164C0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9D371-519C-4D91-8345-24377784C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JKP Toplana Kosjeric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Slavica</dc:creator>
  <cp:lastModifiedBy>Danilo</cp:lastModifiedBy>
  <cp:revision>18</cp:revision>
  <cp:lastPrinted>2020-11-26T10:06:00Z</cp:lastPrinted>
  <dcterms:created xsi:type="dcterms:W3CDTF">2021-11-22T08:11:00Z</dcterms:created>
  <dcterms:modified xsi:type="dcterms:W3CDTF">2022-09-12T06:14:00Z</dcterms:modified>
</cp:coreProperties>
</file>