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b/>
          <w:bCs/>
          <w:i/>
          <w:iCs/>
          <w:lang w:val="sr-Cyrl-RS"/>
        </w:rPr>
      </w:pP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sr-Cyrl-CS"/>
        </w:rPr>
        <w:t xml:space="preserve"> </w:t>
      </w:r>
      <w:r>
        <w:rPr>
          <w:b/>
          <w:bCs/>
          <w:i/>
          <w:iCs/>
        </w:rPr>
        <w:t>ОБРАЗАЦ ПОНУДЕ</w:t>
      </w:r>
    </w:p>
    <w:p>
      <w:pPr>
        <w:tabs>
          <w:tab w:val="left" w:pos="1005"/>
        </w:tabs>
        <w:spacing w:after="120"/>
        <w:jc w:val="both"/>
        <w:rPr>
          <w:iCs/>
        </w:rPr>
      </w:pPr>
    </w:p>
    <w:p>
      <w:pPr>
        <w:tabs>
          <w:tab w:val="left" w:pos="1005"/>
        </w:tabs>
        <w:spacing w:after="120"/>
        <w:jc w:val="both"/>
        <w:rPr>
          <w:b/>
          <w:bCs/>
          <w:i/>
          <w:iCs/>
        </w:rPr>
      </w:pPr>
      <w:r>
        <w:rPr>
          <w:iCs/>
        </w:rPr>
        <w:t>Понуда бр</w:t>
      </w:r>
      <w:r>
        <w:rPr>
          <w:iCs/>
          <w:lang w:val="sr-Cyrl-RS"/>
        </w:rPr>
        <w:t xml:space="preserve"> ________________ </w:t>
      </w:r>
      <w:r>
        <w:rPr>
          <w:iCs/>
        </w:rPr>
        <w:t>од</w:t>
      </w:r>
      <w:r>
        <w:rPr>
          <w:iCs/>
          <w:lang w:val="sr-Cyrl-RS"/>
        </w:rPr>
        <w:t xml:space="preserve"> ___.10.2022. године </w:t>
      </w:r>
      <w:r>
        <w:rPr>
          <w:iCs/>
        </w:rPr>
        <w:t xml:space="preserve">за </w:t>
      </w:r>
      <w:r>
        <w:rPr>
          <w:iCs/>
          <w:lang w:val="sr-Cyrl-RS"/>
        </w:rPr>
        <w:t>н</w:t>
      </w:r>
      <w:r>
        <w:rPr>
          <w:iCs/>
        </w:rPr>
        <w:t>абавку</w:t>
      </w:r>
      <w:r>
        <w:rPr>
          <w:iCs/>
          <w:lang w:val="sr-Cyrl-CS"/>
        </w:rPr>
        <w:t xml:space="preserve"> </w:t>
      </w:r>
      <w:r>
        <w:rPr>
          <w:iCs/>
          <w:color w:val="FF0000"/>
          <w:lang w:val="sr-Cyrl-RS"/>
        </w:rPr>
        <w:t>услуга израде друге Измене плана генералне регулације града Косјерића и Извештаја о стратешкој процени утицаја друге Измене плана генералне регулације града Косјерића на животну средину</w:t>
      </w:r>
      <w:r>
        <w:rPr>
          <w:b/>
          <w:bCs/>
          <w:i/>
          <w:iCs/>
        </w:rPr>
        <w:t xml:space="preserve"> </w:t>
      </w:r>
    </w:p>
    <w:p>
      <w:pPr>
        <w:tabs>
          <w:tab w:val="left" w:pos="1005"/>
        </w:tabs>
        <w:spacing w:after="120"/>
        <w:jc w:val="both"/>
        <w:rPr>
          <w:b/>
          <w:bCs/>
          <w:i/>
          <w:iCs/>
        </w:rPr>
      </w:pPr>
    </w:p>
    <w:p>
      <w:pPr>
        <w:tabs>
          <w:tab w:val="left" w:pos="1005"/>
        </w:tabs>
        <w:spacing w:after="120"/>
        <w:jc w:val="both"/>
        <w:rPr>
          <w:i/>
          <w:iCs/>
          <w:lang w:val="en-US"/>
        </w:rPr>
      </w:pPr>
      <w:r>
        <w:rPr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Назив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>
              <w:rPr>
                <w:i/>
                <w:iCs/>
                <w:lang w:val="en-US"/>
              </w:rPr>
              <w:t>:</w:t>
            </w:r>
          </w:p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Адреса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>
              <w:rPr>
                <w:i/>
                <w:iCs/>
                <w:lang w:val="en-US"/>
              </w:rPr>
              <w:t>:</w:t>
            </w:r>
          </w:p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Матични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број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понуђача</w:t>
            </w:r>
            <w:proofErr w:type="spellEnd"/>
            <w:r>
              <w:rPr>
                <w:i/>
                <w:iCs/>
                <w:lang w:val="en-US"/>
              </w:rPr>
              <w:t>:</w:t>
            </w:r>
          </w:p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Име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i/>
                <w:iCs/>
                <w:lang w:val="sr-Cyrl-CS"/>
              </w:rPr>
              <w:t xml:space="preserve">и презиме </w:t>
            </w:r>
            <w:proofErr w:type="spellStart"/>
            <w:r>
              <w:rPr>
                <w:i/>
                <w:iCs/>
                <w:lang w:val="en-US"/>
              </w:rPr>
              <w:t>особе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за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контакт</w:t>
            </w:r>
            <w:proofErr w:type="spellEnd"/>
            <w:r>
              <w:rPr>
                <w:i/>
                <w:iCs/>
                <w:lang w:val="en-US"/>
              </w:rPr>
              <w:t>:</w:t>
            </w:r>
          </w:p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  <w:lang w:val="en-US"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  <w:lang w:val="en-US"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Телефон</w:t>
            </w:r>
            <w:proofErr w:type="spellEnd"/>
            <w:r>
              <w:rPr>
                <w:i/>
                <w:iCs/>
                <w:lang w:val="en-US"/>
              </w:rPr>
              <w:t>:</w:t>
            </w:r>
          </w:p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Телефакс</w:t>
            </w:r>
            <w:proofErr w:type="spellEnd"/>
            <w:r>
              <w:rPr>
                <w:i/>
                <w:iCs/>
                <w:lang w:val="en-US"/>
              </w:rPr>
              <w:t>:</w:t>
            </w:r>
          </w:p>
          <w:p>
            <w:pPr>
              <w:jc w:val="both"/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  <w:p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rPr>
                <w:b/>
                <w:bCs/>
                <w:i/>
                <w:iCs/>
                <w:lang w:val="ru-RU"/>
              </w:rPr>
            </w:pPr>
          </w:p>
          <w:p>
            <w:pPr>
              <w:rPr>
                <w:b/>
                <w:bCs/>
                <w:i/>
                <w:iCs/>
                <w:lang w:val="ru-RU"/>
              </w:rPr>
            </w:pPr>
          </w:p>
          <w:p>
            <w:pPr>
              <w:rPr>
                <w:b/>
                <w:bCs/>
                <w:i/>
                <w:iCs/>
                <w:lang w:val="ru-RU"/>
              </w:rPr>
            </w:pPr>
          </w:p>
        </w:tc>
      </w:tr>
      <w:t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b/>
                <w:bCs/>
                <w:i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  <w:p>
            <w:pPr>
              <w:ind w:firstLine="708"/>
              <w:rPr>
                <w:b/>
                <w:bCs/>
                <w:i/>
                <w:iCs/>
                <w:lang w:val="ru-RU"/>
              </w:rPr>
            </w:pPr>
          </w:p>
        </w:tc>
      </w:tr>
    </w:tbl>
    <w:p>
      <w:pPr>
        <w:rPr>
          <w:b/>
          <w:bCs/>
          <w:i/>
          <w:iCs/>
        </w:rPr>
      </w:pPr>
    </w:p>
    <w:p>
      <w:r>
        <w:rPr>
          <w:rFonts w:eastAsia="TimesNewRomanPSMT"/>
          <w:b/>
          <w:bCs/>
          <w:i/>
          <w:iCs/>
          <w:lang w:val="en-US"/>
        </w:rPr>
        <w:t xml:space="preserve">2) ПОНУДУ ПОДНОСИ: 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72"/>
      </w:tblGrid>
      <w:t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</w:pPr>
          </w:p>
          <w:p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>
              <w:rPr>
                <w:rFonts w:eastAsia="TimesNewRomanPSMT"/>
                <w:b/>
                <w:bCs/>
                <w:lang w:val="en-US"/>
              </w:rPr>
              <w:t xml:space="preserve">А) САМОСТАЛНО </w:t>
            </w:r>
          </w:p>
        </w:tc>
      </w:tr>
      <w:t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eastAsia="TimesNewRomanPSMT"/>
                <w:b/>
                <w:bCs/>
                <w:lang w:val="en-US"/>
              </w:rPr>
            </w:pPr>
          </w:p>
          <w:p>
            <w:pPr>
              <w:jc w:val="center"/>
              <w:rPr>
                <w:rFonts w:eastAsia="TimesNewRomanPSMT"/>
                <w:b/>
                <w:bCs/>
                <w:lang w:val="en-US"/>
              </w:rPr>
            </w:pPr>
            <w:r>
              <w:rPr>
                <w:rFonts w:eastAsia="TimesNewRomanPSMT"/>
                <w:b/>
                <w:bCs/>
                <w:lang w:val="en-US"/>
              </w:rPr>
              <w:t>Б) СА ПОДИЗВОЂАЧЕМ</w:t>
            </w:r>
          </w:p>
        </w:tc>
      </w:tr>
      <w:tr>
        <w:tc>
          <w:tcPr>
            <w:tcW w:w="9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center"/>
              <w:rPr>
                <w:rFonts w:eastAsia="TimesNewRomanPSMT"/>
                <w:b/>
                <w:bCs/>
                <w:lang w:val="en-US"/>
              </w:rPr>
            </w:pPr>
          </w:p>
          <w:p>
            <w:pPr>
              <w:jc w:val="center"/>
              <w:rPr>
                <w:b/>
                <w:i/>
                <w:iCs/>
                <w:lang w:val="ru-RU"/>
              </w:rPr>
            </w:pPr>
            <w:r>
              <w:rPr>
                <w:rFonts w:eastAsia="TimesNewRomanPSMT"/>
                <w:b/>
                <w:bCs/>
                <w:lang w:val="en-US"/>
              </w:rPr>
              <w:t>В) КАО ЗАЈЕДНИЧКУ ПОНУДУ</w:t>
            </w:r>
          </w:p>
        </w:tc>
      </w:tr>
    </w:tbl>
    <w:p>
      <w:pPr>
        <w:jc w:val="both"/>
        <w:rPr>
          <w:rFonts w:eastAsia="TimesNewRomanPSMT"/>
          <w:bCs/>
        </w:rPr>
      </w:pPr>
      <w:r>
        <w:rPr>
          <w:b/>
          <w:i/>
          <w:iCs/>
          <w:lang w:val="ru-RU"/>
        </w:rPr>
        <w:t>Напомена:</w:t>
      </w:r>
      <w:r>
        <w:rPr>
          <w:i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</w:t>
      </w:r>
      <w:r>
        <w:rPr>
          <w:i/>
          <w:iCs/>
          <w:color w:val="auto"/>
          <w:lang w:val="ru-RU"/>
        </w:rPr>
        <w:t>свим учесницима</w:t>
      </w:r>
      <w:r>
        <w:rPr>
          <w:i/>
          <w:iCs/>
          <w:lang w:val="ru-RU"/>
        </w:rPr>
        <w:t xml:space="preserve"> заједничке понуде, уколико понуду подноси група понуђача</w:t>
      </w:r>
    </w:p>
    <w:p>
      <w:pPr>
        <w:jc w:val="both"/>
        <w:rPr>
          <w:rFonts w:eastAsia="TimesNewRomanPSMT"/>
          <w:b/>
          <w:bCs/>
          <w:i/>
          <w:lang w:val="sr-Cyrl-CS"/>
        </w:rPr>
      </w:pPr>
    </w:p>
    <w:p>
      <w:pPr>
        <w:jc w:val="both"/>
        <w:rPr>
          <w:rFonts w:eastAsia="TimesNewRomanPSMT"/>
          <w:b/>
          <w:bCs/>
          <w:i/>
          <w:lang w:val="sr-Cyrl-CS"/>
        </w:rPr>
      </w:pPr>
    </w:p>
    <w:p>
      <w:pPr>
        <w:jc w:val="both"/>
        <w:rPr>
          <w:rFonts w:eastAsia="TimesNewRomanPSMT"/>
          <w:b/>
          <w:bCs/>
          <w:i/>
          <w:lang w:val="sr-Cyrl-CS"/>
        </w:rPr>
      </w:pPr>
    </w:p>
    <w:p>
      <w:pPr>
        <w:jc w:val="both"/>
        <w:rPr>
          <w:rFonts w:eastAsia="TimesNewRomanPSMT"/>
          <w:b/>
          <w:bCs/>
          <w:i/>
          <w:lang w:val="en-US"/>
        </w:rPr>
      </w:pPr>
      <w:r>
        <w:rPr>
          <w:rFonts w:eastAsia="TimesNewRomanPSMT"/>
          <w:b/>
          <w:bCs/>
          <w:i/>
          <w:lang w:val="sr-Cyrl-CS"/>
        </w:rPr>
        <w:t xml:space="preserve">3) </w:t>
      </w:r>
      <w:r>
        <w:rPr>
          <w:rFonts w:eastAsia="TimesNewRomanPSMT"/>
          <w:b/>
          <w:bCs/>
          <w:i/>
          <w:lang w:val="en-US"/>
        </w:rPr>
        <w:t xml:space="preserve">ПОДАЦИ О ПОДИЗВОЂАЧУ </w:t>
      </w:r>
    </w:p>
    <w:p>
      <w:pPr>
        <w:jc w:val="both"/>
      </w:pPr>
      <w:r>
        <w:rPr>
          <w:rFonts w:eastAsia="TimesNewRomanPSMT"/>
          <w:b/>
          <w:bCs/>
          <w:i/>
          <w:lang w:val="en-US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>
              <w:rPr>
                <w:rFonts w:eastAsia="TimesNewRomanPSMT"/>
                <w:bCs/>
                <w:i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  <w:r>
              <w:rPr>
                <w:rFonts w:eastAsia="TimesNewRomanPSMT"/>
                <w:bCs/>
                <w:i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Назив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подизвођача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>
      <w:pPr>
        <w:jc w:val="both"/>
        <w:rPr>
          <w:i/>
          <w:iCs/>
          <w:lang w:val="ru-RU"/>
        </w:rPr>
      </w:pPr>
      <w:r>
        <w:rPr>
          <w:b/>
          <w:bCs/>
          <w:i/>
          <w:iCs/>
          <w:u w:val="single"/>
          <w:lang w:val="ru-RU"/>
        </w:rPr>
        <w:t>Напомена:</w:t>
      </w:r>
      <w:r>
        <w:rPr>
          <w:b/>
          <w:bCs/>
          <w:i/>
          <w:iCs/>
          <w:lang w:val="ru-RU"/>
        </w:rPr>
        <w:t xml:space="preserve"> </w:t>
      </w:r>
    </w:p>
    <w:p>
      <w:pPr>
        <w:jc w:val="both"/>
        <w:rPr>
          <w:rFonts w:eastAsia="TimesNewRomanPSMT"/>
          <w:b/>
          <w:bCs/>
          <w:lang w:val="ru-RU"/>
        </w:rPr>
      </w:pPr>
      <w:r>
        <w:rPr>
          <w:i/>
          <w:iCs/>
          <w:lang w:val="ru-RU"/>
        </w:rPr>
        <w:t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jc w:val="both"/>
        <w:rPr>
          <w:rFonts w:eastAsia="TimesNewRomanPSMT"/>
          <w:b/>
          <w:bCs/>
          <w:lang w:val="ru-RU"/>
        </w:rPr>
      </w:pPr>
    </w:p>
    <w:p>
      <w:pPr>
        <w:numPr>
          <w:ilvl w:val="0"/>
          <w:numId w:val="1"/>
        </w:numPr>
        <w:jc w:val="both"/>
        <w:rPr>
          <w:rFonts w:eastAsia="TimesNewRomanPSMT"/>
          <w:b/>
          <w:bCs/>
          <w:i/>
          <w:lang w:val="ru-RU"/>
        </w:rPr>
      </w:pPr>
      <w:r>
        <w:rPr>
          <w:rFonts w:eastAsia="TimesNewRomanPSMT"/>
          <w:b/>
          <w:bCs/>
          <w:i/>
          <w:lang w:val="ru-RU"/>
        </w:rPr>
        <w:t>ПОДАЦИ О УЧЕСНИКУ  У ЗАЈЕДНИЧКОЈ ПОНУДИ</w:t>
      </w:r>
    </w:p>
    <w:p>
      <w:pPr>
        <w:jc w:val="both"/>
      </w:pPr>
      <w:r>
        <w:rPr>
          <w:rFonts w:eastAsia="TimesNewRomanPSMT"/>
          <w:b/>
          <w:bCs/>
          <w:i/>
          <w:lang w:val="ru-RU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88"/>
      </w:tblGrid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</w:pPr>
          </w:p>
          <w:p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  <w:lang w:val="en-US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  <w:lang w:val="en-US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  <w:r>
              <w:rPr>
                <w:rFonts w:eastAsia="TimesNewRomanPSMT"/>
                <w:bCs/>
                <w:i/>
                <w:lang w:val="en-US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ru-RU"/>
              </w:rPr>
            </w:pPr>
            <w:r>
              <w:rPr>
                <w:rFonts w:eastAsia="TimesNewRomanPSMT"/>
                <w:bCs/>
                <w:i/>
                <w:lang w:val="ru-RU"/>
              </w:rPr>
              <w:t>Назив учесника у заједничкој понуди: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ru-RU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ru-RU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Адреса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Матични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Порески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идентификациони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број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  <w:t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i/>
                <w:lang w:val="en-US"/>
              </w:rPr>
            </w:pPr>
          </w:p>
          <w:p>
            <w:pPr>
              <w:jc w:val="both"/>
              <w:rPr>
                <w:rFonts w:eastAsia="TimesNewRomanPSMT"/>
                <w:b/>
                <w:bCs/>
                <w:lang w:val="en-US"/>
              </w:rPr>
            </w:pPr>
            <w:proofErr w:type="spellStart"/>
            <w:r>
              <w:rPr>
                <w:rFonts w:eastAsia="TimesNewRomanPSMT"/>
                <w:bCs/>
                <w:i/>
                <w:lang w:val="en-US"/>
              </w:rPr>
              <w:t>Име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особе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за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lang w:val="en-US"/>
              </w:rPr>
              <w:t>контакт</w:t>
            </w:r>
            <w:proofErr w:type="spellEnd"/>
            <w:r>
              <w:rPr>
                <w:rFonts w:eastAsia="TimesNewRomanPSMT"/>
                <w:bCs/>
                <w:i/>
                <w:lang w:val="en-US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/>
                <w:bCs/>
                <w:lang w:val="en-US"/>
              </w:rPr>
            </w:pPr>
          </w:p>
        </w:tc>
      </w:tr>
    </w:tbl>
    <w:p>
      <w:pPr>
        <w:jc w:val="both"/>
        <w:rPr>
          <w:i/>
          <w:iCs/>
          <w:lang w:val="ru-RU"/>
        </w:rPr>
      </w:pPr>
      <w:proofErr w:type="spellStart"/>
      <w:r>
        <w:rPr>
          <w:b/>
          <w:bCs/>
          <w:i/>
          <w:iCs/>
          <w:u w:val="single"/>
          <w:lang w:val="en-US"/>
        </w:rPr>
        <w:t>Напомена</w:t>
      </w:r>
      <w:proofErr w:type="spellEnd"/>
      <w:r>
        <w:rPr>
          <w:b/>
          <w:bCs/>
          <w:i/>
          <w:iCs/>
          <w:u w:val="single"/>
          <w:lang w:val="en-US"/>
        </w:rPr>
        <w:t>:</w:t>
      </w:r>
      <w:r>
        <w:rPr>
          <w:b/>
          <w:bCs/>
          <w:i/>
          <w:iCs/>
          <w:lang w:val="en-US"/>
        </w:rPr>
        <w:t xml:space="preserve"> </w:t>
      </w:r>
    </w:p>
    <w:p>
      <w:pPr>
        <w:jc w:val="both"/>
        <w:rPr>
          <w:b/>
          <w:bCs/>
          <w:i/>
          <w:iCs/>
        </w:rPr>
      </w:pPr>
      <w:r>
        <w:rPr>
          <w:i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jc w:val="both"/>
        <w:rPr>
          <w:b/>
          <w:bCs/>
          <w:i/>
          <w:iCs/>
        </w:rPr>
      </w:pPr>
    </w:p>
    <w:p>
      <w:pPr>
        <w:pStyle w:val="ListParagraph"/>
        <w:numPr>
          <w:ilvl w:val="0"/>
          <w:numId w:val="1"/>
        </w:numPr>
        <w:tabs>
          <w:tab w:val="left" w:pos="1005"/>
        </w:tabs>
        <w:spacing w:after="120"/>
        <w:ind w:left="284" w:firstLine="0"/>
        <w:jc w:val="both"/>
        <w:rPr>
          <w:b/>
          <w:lang w:val="sr-Cyrl-CS"/>
        </w:rPr>
      </w:pPr>
      <w:r>
        <w:rPr>
          <w:rFonts w:eastAsia="TimesNewRomanPSMT"/>
          <w:b/>
          <w:bCs/>
        </w:rPr>
        <w:t>ОПИС ПРЕДМЕТА НАБАВКЕ</w:t>
      </w:r>
      <w:r>
        <w:rPr>
          <w:rFonts w:eastAsia="TimesNewRomanPSMT"/>
          <w:b/>
          <w:bCs/>
          <w:lang w:val="sr-Cyrl-CS"/>
        </w:rPr>
        <w:t xml:space="preserve">: </w:t>
      </w:r>
      <w:r>
        <w:rPr>
          <w:iCs/>
          <w:color w:val="FF0000"/>
          <w:lang w:val="sr-Cyrl-RS"/>
        </w:rPr>
        <w:t>услуга израде друге Измене плана генералне регулације града Косјерића и Извештаја о стратешкој процени утицаја друге Измене плана генералне регулације града Косјерића на животну средину</w:t>
      </w:r>
      <w:bookmarkStart w:id="0" w:name="_GoBack"/>
      <w:bookmarkEnd w:id="0"/>
    </w:p>
    <w:p>
      <w:pPr>
        <w:tabs>
          <w:tab w:val="left" w:pos="1005"/>
        </w:tabs>
        <w:spacing w:after="120"/>
        <w:jc w:val="both"/>
        <w:rPr>
          <w:b/>
          <w:lang w:val="sr-Cyrl-CS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4058"/>
        <w:gridCol w:w="4567"/>
      </w:tblGrid>
      <w:t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 xml:space="preserve">Укупна цена, без ПДВ-а </w:t>
            </w:r>
          </w:p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color w:val="auto"/>
                <w:lang w:val="sr-Cyrl-RS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Укупна цена, са ПДВ-ом</w:t>
            </w:r>
          </w:p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color w:val="auto"/>
              </w:rPr>
            </w:pPr>
            <w:r>
              <w:rPr>
                <w:rFonts w:eastAsia="TimesNewRomanPSMT"/>
                <w:bCs/>
                <w:color w:val="auto"/>
                <w:lang w:val="ru-RU"/>
              </w:rPr>
              <w:t>Рок и начин плаћања</w:t>
            </w:r>
          </w:p>
          <w:p>
            <w:pPr>
              <w:snapToGrid w:val="0"/>
              <w:jc w:val="both"/>
              <w:rPr>
                <w:iCs/>
                <w:color w:val="auto"/>
                <w:lang w:val="sr-Cyrl-RS"/>
              </w:rPr>
            </w:pPr>
            <w:r>
              <w:rPr>
                <w:iCs/>
                <w:color w:val="auto"/>
                <w:lang w:val="sr-Cyrl-RS"/>
              </w:rPr>
              <w:t>(најдаље за 45 дана</w:t>
            </w:r>
            <w:r>
              <w:rPr>
                <w:rFonts w:eastAsia="TimesNewRomanPSMT"/>
                <w:i/>
                <w:color w:val="auto"/>
              </w:rPr>
              <w:t>,</w:t>
            </w:r>
            <w:r>
              <w:rPr>
                <w:i/>
                <w:iCs/>
                <w:color w:val="auto"/>
                <w:lang w:val="sr-Cyrl-RS"/>
              </w:rPr>
              <w:t xml:space="preserve"> </w:t>
            </w:r>
            <w:r>
              <w:rPr>
                <w:iCs/>
                <w:color w:val="auto"/>
                <w:lang w:val="sr-Cyrl-CS"/>
              </w:rPr>
              <w:t>од дана</w:t>
            </w:r>
            <w:r>
              <w:rPr>
                <w:iCs/>
                <w:color w:val="auto"/>
                <w:lang w:val="sr-Cyrl-RS"/>
              </w:rPr>
              <w:t xml:space="preserve"> пријема рачуна, на текући рачун извршиоца услуга)</w:t>
            </w:r>
          </w:p>
          <w:p>
            <w:pPr>
              <w:jc w:val="both"/>
              <w:rPr>
                <w:rFonts w:eastAsia="TimesNewRomanPSMT"/>
                <w:bCs/>
                <w:color w:val="auto"/>
                <w:lang w:val="ru-RU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iCs/>
                <w:color w:val="auto"/>
                <w:lang w:val="sr-Cyrl-RS"/>
              </w:rPr>
            </w:pPr>
          </w:p>
          <w:p>
            <w:pPr>
              <w:snapToGrid w:val="0"/>
              <w:jc w:val="both"/>
              <w:rPr>
                <w:iCs/>
                <w:color w:val="auto"/>
                <w:lang w:val="sr-Cyrl-RS"/>
              </w:rPr>
            </w:pPr>
            <w:r>
              <w:rPr>
                <w:iCs/>
                <w:color w:val="auto"/>
                <w:lang w:val="sr-Cyrl-RS"/>
              </w:rPr>
              <w:t>........ дана</w:t>
            </w:r>
            <w:r>
              <w:rPr>
                <w:rFonts w:eastAsia="TimesNewRomanPSMT"/>
                <w:i/>
                <w:color w:val="auto"/>
              </w:rPr>
              <w:t>,</w:t>
            </w:r>
            <w:r>
              <w:rPr>
                <w:i/>
                <w:iCs/>
                <w:color w:val="auto"/>
                <w:lang w:val="sr-Cyrl-RS"/>
              </w:rPr>
              <w:t xml:space="preserve"> </w:t>
            </w:r>
            <w:r>
              <w:rPr>
                <w:iCs/>
                <w:color w:val="auto"/>
                <w:lang w:val="sr-Cyrl-CS"/>
              </w:rPr>
              <w:t>од дана</w:t>
            </w:r>
            <w:r>
              <w:rPr>
                <w:iCs/>
                <w:color w:val="auto"/>
                <w:lang w:val="sr-Cyrl-RS"/>
              </w:rPr>
              <w:t xml:space="preserve"> пријема рачуна, на текући рачун извршиоца услуга </w:t>
            </w:r>
          </w:p>
          <w:p>
            <w:pPr>
              <w:snapToGrid w:val="0"/>
              <w:jc w:val="both"/>
              <w:rPr>
                <w:rFonts w:eastAsia="TimesNewRomanPSMT"/>
                <w:bCs/>
                <w:color w:val="auto"/>
                <w:lang w:val="sr-Cyrl-RS"/>
              </w:rPr>
            </w:pPr>
          </w:p>
        </w:tc>
      </w:tr>
      <w:t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  <w:r>
              <w:rPr>
                <w:rFonts w:eastAsia="TimesNewRomanPSMT"/>
                <w:bCs/>
                <w:lang w:val="ru-RU"/>
              </w:rPr>
              <w:t>Рок важења понуде</w:t>
            </w:r>
          </w:p>
          <w:p>
            <w:pPr>
              <w:jc w:val="both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ru-RU"/>
              </w:rPr>
              <w:t>(не може бити краћи од 60 дана, од дана отварања понуда)</w:t>
            </w:r>
          </w:p>
          <w:p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>
            <w:pPr>
              <w:jc w:val="both"/>
              <w:rPr>
                <w:rFonts w:eastAsia="TimesNewRomanPSMT"/>
                <w:bCs/>
                <w:lang w:val="sr-Cyrl-RS"/>
              </w:rPr>
            </w:pPr>
            <w:r>
              <w:rPr>
                <w:rFonts w:eastAsia="TimesNewRomanPSMT"/>
                <w:bCs/>
                <w:lang w:val="ru-RU"/>
              </w:rPr>
              <w:t>...........  дана, од дана отварања понуда</w:t>
            </w:r>
          </w:p>
          <w:p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>
      <w:pPr>
        <w:jc w:val="both"/>
        <w:rPr>
          <w:b/>
          <w:lang w:val="sr-Cyrl-CS"/>
        </w:rPr>
      </w:pPr>
    </w:p>
    <w:p>
      <w:pPr>
        <w:tabs>
          <w:tab w:val="left" w:pos="1005"/>
        </w:tabs>
        <w:spacing w:after="120"/>
        <w:jc w:val="center"/>
      </w:pP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720" w:firstLine="720"/>
        <w:jc w:val="both"/>
        <w:rPr>
          <w:rFonts w:eastAsia="TimesNewRomanPSMT"/>
          <w:bCs/>
          <w:lang w:val="sr-Cyrl-CS"/>
        </w:rPr>
      </w:pPr>
    </w:p>
    <w:p>
      <w:pPr>
        <w:ind w:left="720" w:firstLine="720"/>
        <w:jc w:val="both"/>
        <w:rPr>
          <w:rFonts w:eastAsia="TimesNewRomanPSMT"/>
          <w:bCs/>
        </w:rPr>
      </w:pP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Понуђач</w:t>
      </w:r>
    </w:p>
    <w:p>
      <w:pPr>
        <w:ind w:left="2880" w:firstLine="720"/>
        <w:jc w:val="both"/>
        <w:rPr>
          <w:rFonts w:eastAsia="TimesNewRomanPSMT"/>
          <w:bCs/>
        </w:rPr>
      </w:pPr>
    </w:p>
    <w:p>
      <w:pPr>
        <w:ind w:left="2880" w:firstLine="720"/>
        <w:jc w:val="both"/>
        <w:rPr>
          <w:rFonts w:eastAsia="TimesNewRomanPSMT"/>
          <w:bCs/>
        </w:rPr>
      </w:pPr>
    </w:p>
    <w:p>
      <w:pPr>
        <w:ind w:left="2880" w:firstLine="720"/>
        <w:jc w:val="both"/>
        <w:rPr>
          <w:rFonts w:eastAsia="TimesNewRomanPSMT"/>
          <w:bCs/>
        </w:rPr>
      </w:pPr>
    </w:p>
    <w:p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</w:p>
    <w:p>
      <w:pPr>
        <w:jc w:val="both"/>
        <w:rPr>
          <w:rFonts w:eastAsia="TimesNewRomanPS-BoldMT"/>
          <w:b/>
          <w:bCs/>
          <w:i/>
          <w:iCs/>
          <w:color w:val="002060"/>
        </w:rPr>
      </w:pPr>
    </w:p>
    <w:p>
      <w:pPr>
        <w:jc w:val="both"/>
        <w:rPr>
          <w:i/>
          <w:iCs/>
        </w:rPr>
      </w:pPr>
      <w:r>
        <w:rPr>
          <w:b/>
          <w:bCs/>
          <w:i/>
          <w:iCs/>
          <w:u w:val="single"/>
        </w:rPr>
        <w:t>Напомене:</w:t>
      </w:r>
      <w:r>
        <w:rPr>
          <w:b/>
          <w:bCs/>
          <w:i/>
          <w:iCs/>
        </w:rPr>
        <w:t xml:space="preserve"> </w:t>
      </w:r>
    </w:p>
    <w:p>
      <w:pPr>
        <w:jc w:val="both"/>
        <w:rPr>
          <w:i/>
          <w:iCs/>
        </w:rPr>
      </w:pPr>
      <w:r>
        <w:rPr>
          <w:i/>
          <w:iCs/>
        </w:rPr>
        <w:t xml:space="preserve">Образац понуде понуђач мора да попуни и потпише, чиме </w:t>
      </w:r>
      <w:r>
        <w:rPr>
          <w:i/>
          <w:iCs/>
          <w:lang w:val="sr-Cyrl-CS"/>
        </w:rPr>
        <w:t>п</w:t>
      </w:r>
      <w:r>
        <w:rPr>
          <w:i/>
          <w:iCs/>
        </w:rPr>
        <w:t xml:space="preserve">отврђује да су тачни подаци који су у обрасцу понуде наведени. Уколико понуђачи подносе </w:t>
      </w:r>
      <w:r>
        <w:rPr>
          <w:b/>
          <w:i/>
          <w:iCs/>
        </w:rPr>
        <w:t xml:space="preserve">заједничку </w:t>
      </w:r>
      <w:r>
        <w:rPr>
          <w:i/>
          <w:iCs/>
        </w:rPr>
        <w:t>понуду,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</w:t>
      </w:r>
      <w:r>
        <w:rPr>
          <w:i/>
          <w:iCs/>
          <w:lang w:val="sr-Cyrl-CS"/>
        </w:rPr>
        <w:t xml:space="preserve"> и</w:t>
      </w:r>
      <w:r>
        <w:rPr>
          <w:i/>
          <w:iCs/>
        </w:rPr>
        <w:t xml:space="preserve"> потписати образац понуде.</w:t>
      </w:r>
    </w:p>
    <w:p>
      <w:pPr>
        <w:jc w:val="both"/>
        <w:rPr>
          <w:b/>
          <w:i/>
          <w:iCs/>
          <w:color w:val="FF0000"/>
          <w:lang w:val="sr-Cyrl-RS"/>
        </w:rPr>
      </w:pPr>
    </w:p>
    <w:p>
      <w:pPr>
        <w:jc w:val="both"/>
        <w:rPr>
          <w:b/>
          <w:i/>
          <w:iCs/>
          <w:color w:val="FF0000"/>
          <w:lang w:val="sr-Cyrl-RS"/>
        </w:rPr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166C8"/>
    <w:multiLevelType w:val="hybridMultilevel"/>
    <w:tmpl w:val="62609528"/>
    <w:lvl w:ilvl="0" w:tplc="655252A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1608C"/>
    <w:multiLevelType w:val="hybridMultilevel"/>
    <w:tmpl w:val="0F9E621A"/>
    <w:lvl w:ilvl="0" w:tplc="68CE008A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2160" w:hanging="360"/>
      </w:pPr>
    </w:lvl>
    <w:lvl w:ilvl="2" w:tplc="081A001B" w:tentative="1">
      <w:start w:val="1"/>
      <w:numFmt w:val="lowerRoman"/>
      <w:lvlText w:val="%3."/>
      <w:lvlJc w:val="right"/>
      <w:pPr>
        <w:ind w:left="2880" w:hanging="180"/>
      </w:pPr>
    </w:lvl>
    <w:lvl w:ilvl="3" w:tplc="081A000F" w:tentative="1">
      <w:start w:val="1"/>
      <w:numFmt w:val="decimal"/>
      <w:lvlText w:val="%4."/>
      <w:lvlJc w:val="left"/>
      <w:pPr>
        <w:ind w:left="3600" w:hanging="360"/>
      </w:pPr>
    </w:lvl>
    <w:lvl w:ilvl="4" w:tplc="081A0019" w:tentative="1">
      <w:start w:val="1"/>
      <w:numFmt w:val="lowerLetter"/>
      <w:lvlText w:val="%5."/>
      <w:lvlJc w:val="left"/>
      <w:pPr>
        <w:ind w:left="4320" w:hanging="360"/>
      </w:pPr>
    </w:lvl>
    <w:lvl w:ilvl="5" w:tplc="081A001B" w:tentative="1">
      <w:start w:val="1"/>
      <w:numFmt w:val="lowerRoman"/>
      <w:lvlText w:val="%6."/>
      <w:lvlJc w:val="right"/>
      <w:pPr>
        <w:ind w:left="5040" w:hanging="180"/>
      </w:pPr>
    </w:lvl>
    <w:lvl w:ilvl="6" w:tplc="081A000F" w:tentative="1">
      <w:start w:val="1"/>
      <w:numFmt w:val="decimal"/>
      <w:lvlText w:val="%7."/>
      <w:lvlJc w:val="left"/>
      <w:pPr>
        <w:ind w:left="5760" w:hanging="360"/>
      </w:pPr>
    </w:lvl>
    <w:lvl w:ilvl="7" w:tplc="081A0019" w:tentative="1">
      <w:start w:val="1"/>
      <w:numFmt w:val="lowerLetter"/>
      <w:lvlText w:val="%8."/>
      <w:lvlJc w:val="left"/>
      <w:pPr>
        <w:ind w:left="6480" w:hanging="360"/>
      </w:pPr>
    </w:lvl>
    <w:lvl w:ilvl="8" w:tplc="08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F39D-5BDD-479A-A263-616578A9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EA397-7DD0-457C-AB31-901759D9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2019-03-12T14:05:00Z</cp:lastPrinted>
  <dcterms:created xsi:type="dcterms:W3CDTF">2017-11-07T10:40:00Z</dcterms:created>
  <dcterms:modified xsi:type="dcterms:W3CDTF">2022-10-11T12:39:00Z</dcterms:modified>
</cp:coreProperties>
</file>