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  <w:rPr>
          <w:b/>
        </w:rPr>
      </w:pPr>
    </w:p>
    <w:p>
      <w:pPr>
        <w:jc w:val="center"/>
      </w:pPr>
    </w:p>
    <w:p>
      <w:pPr>
        <w:ind w:left="-142"/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color w:val="FF0000"/>
          <w:lang w:val="sr-Cyrl-RS"/>
        </w:rPr>
        <w:t>услуга израде друге Измене плана генералне регулације града Косјерића и Извештаја о стратешкој процени утицаја друге Измене плана генералне регулације града Косјерића на животну средину</w:t>
      </w:r>
      <w:r>
        <w:rPr>
          <w:iCs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 Понуђач испуњава услове за обављање професионалне делатности, односно, уписан је у регистар привредних субјеката, судски регистар, професионални регистар или други одговарајући регистар, ако се такав регистар води у земљи у којој привредни субјект има седиште.</w:t>
      </w:r>
    </w:p>
    <w:p>
      <w:pPr>
        <w:pStyle w:val="ListParagraph"/>
        <w:tabs>
          <w:tab w:val="left" w:pos="709"/>
        </w:tabs>
        <w:spacing w:line="240" w:lineRule="auto"/>
        <w:ind w:left="1070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 xml:space="preserve">Доказ: </w:t>
      </w:r>
    </w:p>
    <w:p>
      <w:pPr>
        <w:pStyle w:val="ListParagraph"/>
        <w:tabs>
          <w:tab w:val="left" w:pos="709"/>
        </w:tabs>
        <w:spacing w:line="240" w:lineRule="auto"/>
        <w:ind w:left="1070"/>
        <w:jc w:val="both"/>
        <w:rPr>
          <w:lang w:val="sr-Cyrl-RS"/>
        </w:rPr>
      </w:pPr>
      <w:r>
        <w:rPr>
          <w:lang w:val="sr-Cyrl-RS"/>
        </w:rPr>
        <w:t>Извод из регистра.</w:t>
      </w:r>
    </w:p>
    <w:p>
      <w:pPr>
        <w:pStyle w:val="ListParagraph"/>
        <w:tabs>
          <w:tab w:val="left" w:pos="709"/>
        </w:tabs>
        <w:spacing w:line="240" w:lineRule="auto"/>
        <w:ind w:left="1070"/>
        <w:jc w:val="both"/>
        <w:rPr>
          <w:lang w:val="sr-Cyrl-RS"/>
        </w:rPr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 Понуђач испуњава финансијски и економски капацитет, односно, понуђач је у последње две финансијске године остварио минимални приход од 2.000.000,00 динара, без ПДВ-а, у области која је обухваћена предметом набавке.</w:t>
      </w:r>
    </w:p>
    <w:p>
      <w:pPr>
        <w:tabs>
          <w:tab w:val="left" w:pos="709"/>
        </w:tabs>
        <w:spacing w:line="240" w:lineRule="auto"/>
        <w:ind w:left="284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 xml:space="preserve">             </w:t>
      </w:r>
      <w:r>
        <w:rPr>
          <w:b/>
          <w:i/>
          <w:lang w:val="sr-Cyrl-RS"/>
        </w:rPr>
        <w:t xml:space="preserve">Доказ: </w:t>
      </w:r>
    </w:p>
    <w:p>
      <w:pPr>
        <w:pStyle w:val="ListParagraph"/>
        <w:tabs>
          <w:tab w:val="left" w:pos="709"/>
        </w:tabs>
        <w:spacing w:line="240" w:lineRule="auto"/>
        <w:ind w:left="644"/>
        <w:jc w:val="both"/>
        <w:rPr>
          <w:lang w:val="sr-Cyrl-RS"/>
        </w:rPr>
      </w:pPr>
      <w:r>
        <w:rPr>
          <w:lang w:val="sr-Cyrl-RS"/>
        </w:rPr>
        <w:t xml:space="preserve">       </w:t>
      </w:r>
      <w:r>
        <w:rPr>
          <w:lang w:val="sr-Cyrl-RS"/>
        </w:rPr>
        <w:t>Фотокопиј</w:t>
      </w:r>
      <w:r>
        <w:rPr>
          <w:lang w:val="sr-Cyrl-RS"/>
        </w:rPr>
        <w:t xml:space="preserve">е </w:t>
      </w:r>
      <w:r>
        <w:rPr>
          <w:lang w:val="sr-Cyrl-RS"/>
        </w:rPr>
        <w:t>релизованих уговора и окончаних ситуација или рачуна.</w:t>
      </w:r>
    </w:p>
    <w:p>
      <w:p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b/>
          <w:i/>
          <w:lang w:val="sr-Cyrl-RS"/>
        </w:rPr>
        <w:t xml:space="preserve">                  </w:t>
      </w: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 Понуђач испуњава технички и стручни капацитет: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lang w:val="sr-Cyrl-RS"/>
        </w:rPr>
      </w:pPr>
      <w:bookmarkStart w:id="0" w:name="_GoBack"/>
      <w:bookmarkEnd w:id="0"/>
    </w:p>
    <w:p>
      <w:pPr>
        <w:pStyle w:val="ListParagraph"/>
        <w:numPr>
          <w:ilvl w:val="2"/>
          <w:numId w:val="5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Понуђач у моменту подношења понуде располаже довољним кадровским капацитетом, односно, има у складу са Законом о раду ангажовано:</w:t>
      </w:r>
    </w:p>
    <w:p>
      <w:pPr>
        <w:pStyle w:val="ListParagraph"/>
        <w:numPr>
          <w:ilvl w:val="0"/>
          <w:numId w:val="12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минимум једног одговорног планера са лиценцом ИКС 100 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инфраструктуре,</w:t>
      </w:r>
    </w:p>
    <w:p>
      <w:pPr>
        <w:pStyle w:val="ListParagraph"/>
        <w:numPr>
          <w:ilvl w:val="0"/>
          <w:numId w:val="12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минимум једног одговорног урбанисту са лиценцом ИКС 200 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инфраструктуре,</w:t>
      </w:r>
    </w:p>
    <w:p>
      <w:pPr>
        <w:pStyle w:val="ListParagraph"/>
        <w:numPr>
          <w:ilvl w:val="0"/>
          <w:numId w:val="12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минимум једног одговорног урбанисту са лиценцом ИКС 203 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инфраструктуре,</w:t>
      </w:r>
    </w:p>
    <w:p>
      <w:pPr>
        <w:pStyle w:val="ListParagraph"/>
        <w:numPr>
          <w:ilvl w:val="0"/>
          <w:numId w:val="12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минимум једног одговорног пројектанта геодетских пројеката  са лиценцом ИКС 372 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и</w:t>
      </w:r>
    </w:p>
    <w:p>
      <w:pPr>
        <w:pStyle w:val="ListParagraph"/>
        <w:numPr>
          <w:ilvl w:val="0"/>
          <w:numId w:val="12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минимум једног инжењера заштите животне средине, као и друга стручна лица квалификована за анализу сваког елемента стратешке процене утицаја плана на животну средину.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Фотокопије лиценци оверене својеручним потписом и печатом (није обавезан) имаоца лиценци.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pPr>
        <w:pStyle w:val="ListParagraph"/>
        <w:numPr>
          <w:ilvl w:val="2"/>
          <w:numId w:val="5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Понуђач поседује:</w:t>
      </w:r>
    </w:p>
    <w:p>
      <w:pPr>
        <w:pStyle w:val="ListParagraph"/>
        <w:numPr>
          <w:ilvl w:val="0"/>
          <w:numId w:val="13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полису осигурања од одговорности за штету коју може причинити другој страни, односно трећем лицу, у складу са чланом 129а Закона о планирању и изградњи (</w:t>
      </w:r>
      <w:r>
        <w:t xml:space="preserve">„Службени гласник РС“, </w:t>
      </w:r>
      <w:r>
        <w:rPr>
          <w:rFonts w:eastAsiaTheme="minorHAnsi"/>
        </w:rPr>
        <w:t>бр</w:t>
      </w:r>
      <w:r>
        <w:rPr>
          <w:rFonts w:eastAsiaTheme="minorHAnsi"/>
          <w:lang w:val="sr-Cyrl-RS"/>
        </w:rPr>
        <w:t>ој</w:t>
      </w:r>
      <w:r>
        <w:rPr>
          <w:rFonts w:eastAsiaTheme="minorHAnsi"/>
        </w:rPr>
        <w:t xml:space="preserve"> 72/09</w:t>
      </w:r>
      <w:r>
        <w:rPr>
          <w:rFonts w:eastAsiaTheme="minorHAnsi"/>
          <w:lang w:val="sr-Cyrl-RS"/>
        </w:rPr>
        <w:t>, ... и 9/2020</w:t>
      </w:r>
      <w:r>
        <w:rPr>
          <w:rFonts w:eastAsiaTheme="minorHAnsi"/>
        </w:rPr>
        <w:t xml:space="preserve">) </w:t>
      </w:r>
      <w:r>
        <w:rPr>
          <w:lang w:val="sr-Cyrl-RS"/>
        </w:rPr>
        <w:t xml:space="preserve"> и Правилником о условима осигурања од професионалне одговорности („Службени гласник РС“, број 40/2015);</w:t>
      </w:r>
    </w:p>
    <w:p>
      <w:pPr>
        <w:pStyle w:val="ListParagraph"/>
        <w:numPr>
          <w:ilvl w:val="0"/>
          <w:numId w:val="13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 xml:space="preserve">сертификат којим се потврђује усклађеност система менаџмента квалитета са захтевима стандарда </w:t>
      </w:r>
      <w:r>
        <w:t xml:space="preserve">ISO </w:t>
      </w:r>
      <w:r>
        <w:rPr>
          <w:lang w:val="sr-Cyrl-RS"/>
        </w:rPr>
        <w:t>9001:2008</w:t>
      </w:r>
      <w:r>
        <w:t xml:space="preserve"> и</w:t>
      </w:r>
    </w:p>
    <w:p>
      <w:pPr>
        <w:pStyle w:val="ListParagraph"/>
        <w:numPr>
          <w:ilvl w:val="0"/>
          <w:numId w:val="13"/>
        </w:numPr>
        <w:tabs>
          <w:tab w:val="left" w:pos="709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>лиценцирани софтвер на својим рачунарима за пројектовање и обраду података.</w:t>
      </w:r>
    </w:p>
    <w:p>
      <w:pPr>
        <w:tabs>
          <w:tab w:val="left" w:pos="1815"/>
        </w:tabs>
        <w:spacing w:line="240" w:lineRule="auto"/>
        <w:jc w:val="both"/>
        <w:rPr>
          <w:b/>
          <w:i/>
          <w:lang w:val="sr-Cyrl-CS"/>
        </w:rPr>
      </w:pPr>
      <w:r>
        <w:rPr>
          <w:i/>
          <w:lang w:val="sr-Cyrl-CS"/>
        </w:rPr>
        <w:tab/>
      </w:r>
      <w:r>
        <w:rPr>
          <w:b/>
          <w:i/>
          <w:lang w:val="sr-Cyrl-CS"/>
        </w:rPr>
        <w:t xml:space="preserve">Доказ: </w:t>
      </w:r>
    </w:p>
    <w:p>
      <w:pPr>
        <w:tabs>
          <w:tab w:val="left" w:pos="1815"/>
        </w:tabs>
        <w:spacing w:line="240" w:lineRule="auto"/>
        <w:ind w:left="708"/>
        <w:jc w:val="both"/>
        <w:rPr>
          <w:lang w:val="sr-Cyrl-CS"/>
        </w:rPr>
      </w:pPr>
      <w:r>
        <w:rPr>
          <w:lang w:val="sr-Cyrl-CS"/>
        </w:rPr>
        <w:t xml:space="preserve">                  Фотокопије полисе осигурања, сертификата и документа о поседовању   </w:t>
      </w:r>
    </w:p>
    <w:p>
      <w:pPr>
        <w:tabs>
          <w:tab w:val="left" w:pos="1815"/>
        </w:tabs>
        <w:spacing w:line="240" w:lineRule="auto"/>
        <w:ind w:left="708"/>
        <w:jc w:val="both"/>
        <w:rPr>
          <w:lang w:val="sr-Cyrl-CS"/>
        </w:rPr>
      </w:pPr>
      <w:r>
        <w:rPr>
          <w:lang w:val="sr-Cyrl-CS"/>
        </w:rPr>
        <w:tab/>
        <w:t>софтвера.</w:t>
      </w:r>
    </w:p>
    <w:p>
      <w:pPr>
        <w:tabs>
          <w:tab w:val="left" w:pos="1815"/>
        </w:tabs>
        <w:spacing w:after="120"/>
        <w:ind w:left="1815"/>
        <w:jc w:val="both"/>
        <w:rPr>
          <w:lang w:val="sr-Cyrl-C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</w:t>
      </w:r>
      <w:r>
        <w:rPr>
          <w:lang w:val="sr-Cyrl-RS"/>
        </w:rPr>
        <w:t xml:space="preserve">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7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2021-05-12T07:51:00Z</cp:lastPrinted>
  <dcterms:created xsi:type="dcterms:W3CDTF">2021-05-24T11:53:00Z</dcterms:created>
  <dcterms:modified xsi:type="dcterms:W3CDTF">2022-10-11T13:00:00Z</dcterms:modified>
</cp:coreProperties>
</file>